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仿宋" w:hAnsi="仿宋" w:eastAsia="仿宋"/>
          <w:b/>
          <w:sz w:val="32"/>
          <w:szCs w:val="32"/>
        </w:rPr>
      </w:pPr>
      <w:r>
        <w:rPr>
          <w:rFonts w:hint="eastAsia" w:ascii="仿宋" w:hAnsi="仿宋" w:eastAsia="仿宋"/>
          <w:b/>
          <w:sz w:val="32"/>
          <w:szCs w:val="32"/>
        </w:rPr>
        <w:t xml:space="preserve"> </w:t>
      </w: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Theme="majorEastAsia" w:hAnsiTheme="majorEastAsia" w:eastAsiaTheme="majorEastAsia"/>
          <w:b/>
          <w:sz w:val="48"/>
          <w:szCs w:val="48"/>
        </w:rPr>
      </w:pPr>
      <w:r>
        <w:rPr>
          <w:rFonts w:hint="eastAsia" w:asciiTheme="majorEastAsia" w:hAnsiTheme="majorEastAsia" w:eastAsiaTheme="majorEastAsia"/>
          <w:b/>
          <w:sz w:val="48"/>
          <w:szCs w:val="48"/>
        </w:rPr>
        <w:t>评估委托合同</w:t>
      </w: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left"/>
        <w:rPr>
          <w:rFonts w:ascii="仿宋" w:hAnsi="仿宋" w:eastAsia="仿宋"/>
          <w:sz w:val="28"/>
          <w:szCs w:val="28"/>
        </w:rPr>
      </w:pPr>
    </w:p>
    <w:p>
      <w:pPr>
        <w:adjustRightInd w:val="0"/>
        <w:snapToGrid w:val="0"/>
        <w:spacing w:line="560" w:lineRule="exact"/>
        <w:ind w:firstLine="840" w:firstLineChars="300"/>
        <w:jc w:val="left"/>
        <w:rPr>
          <w:rFonts w:ascii="仿宋" w:hAnsi="仿宋" w:eastAsia="仿宋"/>
          <w:sz w:val="28"/>
          <w:szCs w:val="28"/>
        </w:rPr>
      </w:pPr>
      <w:r>
        <w:rPr>
          <w:rFonts w:hint="eastAsia" w:ascii="仿宋" w:hAnsi="仿宋" w:eastAsia="仿宋"/>
          <w:sz w:val="28"/>
          <w:szCs w:val="28"/>
        </w:rPr>
        <w:t>委托人：</w:t>
      </w:r>
      <w:r>
        <w:rPr>
          <w:rFonts w:hint="eastAsia" w:ascii="仿宋" w:hAnsi="仿宋" w:eastAsia="仿宋"/>
          <w:sz w:val="28"/>
          <w:szCs w:val="28"/>
          <w:u w:val="single"/>
        </w:rPr>
        <w:t xml:space="preserve"> </w:t>
      </w:r>
      <w:r>
        <w:rPr>
          <w:rFonts w:hint="eastAsia" w:ascii="宋体" w:hAnsi="宋体"/>
          <w:b/>
          <w:bCs/>
          <w:sz w:val="24"/>
          <w:u w:val="single"/>
          <w:lang w:eastAsia="zh-CN"/>
        </w:rPr>
        <w:t>成都裕龙叁号房地产开发有限公司</w:t>
      </w:r>
      <w:r>
        <w:rPr>
          <w:rFonts w:hint="eastAsia" w:ascii="宋体" w:hAnsi="宋体"/>
          <w:b/>
          <w:bCs/>
          <w:sz w:val="24"/>
          <w:u w:val="single"/>
        </w:rPr>
        <w:t xml:space="preserve">   </w:t>
      </w:r>
      <w:r>
        <w:rPr>
          <w:rFonts w:hint="eastAsia" w:ascii="仿宋" w:hAnsi="仿宋" w:eastAsia="仿宋"/>
          <w:sz w:val="28"/>
          <w:szCs w:val="28"/>
        </w:rPr>
        <w:t xml:space="preserve">  </w:t>
      </w:r>
    </w:p>
    <w:p>
      <w:pPr>
        <w:adjustRightInd w:val="0"/>
        <w:snapToGrid w:val="0"/>
        <w:spacing w:line="560" w:lineRule="exact"/>
        <w:rPr>
          <w:rFonts w:ascii="仿宋" w:hAnsi="仿宋" w:eastAsia="仿宋"/>
          <w:sz w:val="28"/>
          <w:szCs w:val="28"/>
        </w:rPr>
      </w:pPr>
    </w:p>
    <w:p>
      <w:pPr>
        <w:adjustRightInd w:val="0"/>
        <w:snapToGrid w:val="0"/>
        <w:spacing w:line="560" w:lineRule="exact"/>
        <w:ind w:firstLine="840" w:firstLineChars="300"/>
        <w:rPr>
          <w:rFonts w:ascii="仿宋" w:hAnsi="仿宋" w:eastAsia="仿宋"/>
          <w:sz w:val="28"/>
          <w:szCs w:val="28"/>
        </w:rPr>
      </w:pPr>
      <w:r>
        <w:rPr>
          <w:rFonts w:hint="eastAsia" w:ascii="仿宋" w:hAnsi="仿宋" w:eastAsia="仿宋"/>
          <w:sz w:val="28"/>
          <w:szCs w:val="28"/>
        </w:rPr>
        <w:t>评估机构：</w:t>
      </w:r>
      <w:r>
        <w:rPr>
          <w:rFonts w:hint="eastAsia" w:ascii="仿宋" w:hAnsi="仿宋" w:eastAsia="仿宋"/>
          <w:sz w:val="28"/>
          <w:szCs w:val="28"/>
          <w:u w:val="single"/>
        </w:rPr>
        <w:t xml:space="preserve"> </w:t>
      </w:r>
      <w:r>
        <w:rPr>
          <w:rFonts w:hint="eastAsia" w:ascii="宋体" w:hAnsi="宋体"/>
          <w:b/>
          <w:sz w:val="24"/>
          <w:u w:val="single"/>
        </w:rPr>
        <w:t>北京</w:t>
      </w:r>
      <w:r>
        <w:rPr>
          <w:rFonts w:hint="eastAsia" w:ascii="宋体" w:hAnsi="宋体"/>
          <w:b/>
          <w:bCs/>
          <w:sz w:val="24"/>
          <w:u w:val="single"/>
        </w:rPr>
        <w:t xml:space="preserve">康正宏基房地产评估有限公司 </w:t>
      </w: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jc w:val="center"/>
        <w:rPr>
          <w:rFonts w:ascii="仿宋" w:hAnsi="仿宋" w:eastAsia="仿宋"/>
          <w:b/>
          <w:sz w:val="32"/>
          <w:szCs w:val="32"/>
        </w:rPr>
      </w:pPr>
    </w:p>
    <w:p>
      <w:pPr>
        <w:adjustRightInd w:val="0"/>
        <w:snapToGrid w:val="0"/>
        <w:spacing w:line="560" w:lineRule="exact"/>
        <w:rPr>
          <w:rFonts w:ascii="仿宋" w:hAnsi="仿宋" w:eastAsia="仿宋"/>
          <w:b/>
          <w:sz w:val="32"/>
          <w:szCs w:val="32"/>
        </w:rPr>
      </w:pPr>
    </w:p>
    <w:p>
      <w:pPr>
        <w:adjustRightInd w:val="0"/>
        <w:snapToGrid w:val="0"/>
        <w:spacing w:line="560" w:lineRule="exact"/>
        <w:rPr>
          <w:rFonts w:ascii="仿宋" w:hAnsi="仿宋" w:eastAsia="仿宋"/>
          <w:b/>
          <w:sz w:val="32"/>
          <w:szCs w:val="32"/>
        </w:rPr>
      </w:pPr>
    </w:p>
    <w:p>
      <w:pPr>
        <w:adjustRightInd w:val="0"/>
        <w:snapToGrid w:val="0"/>
        <w:spacing w:line="560" w:lineRule="exact"/>
        <w:rPr>
          <w:rFonts w:ascii="仿宋" w:hAnsi="仿宋" w:eastAsia="仿宋"/>
          <w:b/>
          <w:sz w:val="32"/>
          <w:szCs w:val="32"/>
        </w:rPr>
      </w:pPr>
    </w:p>
    <w:p>
      <w:pPr>
        <w:adjustRightInd w:val="0"/>
        <w:snapToGrid w:val="0"/>
        <w:spacing w:line="560" w:lineRule="exact"/>
        <w:rPr>
          <w:rFonts w:ascii="仿宋" w:hAnsi="仿宋" w:eastAsia="仿宋"/>
          <w:b/>
          <w:sz w:val="32"/>
          <w:szCs w:val="32"/>
        </w:rPr>
      </w:pPr>
    </w:p>
    <w:p>
      <w:pPr>
        <w:adjustRightInd w:val="0"/>
        <w:snapToGrid w:val="0"/>
        <w:spacing w:line="560" w:lineRule="exact"/>
        <w:ind w:firstLine="560" w:firstLineChars="200"/>
        <w:rPr>
          <w:rFonts w:ascii="仿宋" w:hAnsi="仿宋" w:eastAsia="仿宋"/>
          <w:b/>
          <w:sz w:val="28"/>
          <w:szCs w:val="28"/>
        </w:rPr>
      </w:pPr>
      <w:r>
        <w:rPr>
          <w:rFonts w:hint="eastAsia" w:ascii="仿宋" w:hAnsi="仿宋" w:eastAsia="仿宋"/>
          <w:b/>
          <w:sz w:val="28"/>
          <w:szCs w:val="28"/>
        </w:rPr>
        <w:t>备注：本合同范本适用于委托第三方办理房产、土地等评估事宜</w:t>
      </w:r>
    </w:p>
    <w:p>
      <w:pPr>
        <w:adjustRightInd w:val="0"/>
        <w:snapToGrid w:val="0"/>
        <w:spacing w:line="560" w:lineRule="exact"/>
        <w:jc w:val="center"/>
        <w:rPr>
          <w:rFonts w:ascii="仿宋" w:hAnsi="仿宋" w:eastAsia="仿宋"/>
          <w:b/>
          <w:sz w:val="32"/>
          <w:szCs w:val="32"/>
        </w:rPr>
      </w:pPr>
      <w:r>
        <w:rPr>
          <w:rFonts w:hint="eastAsia" w:ascii="仿宋" w:hAnsi="仿宋" w:eastAsia="仿宋"/>
          <w:b/>
          <w:sz w:val="32"/>
          <w:szCs w:val="32"/>
        </w:rPr>
        <w:t>评估委托合同</w:t>
      </w:r>
    </w:p>
    <w:p>
      <w:pPr>
        <w:spacing w:before="62" w:beforeLines="20" w:after="62" w:afterLines="20" w:line="400" w:lineRule="exact"/>
        <w:jc w:val="right"/>
        <w:rPr>
          <w:rFonts w:ascii="黑体" w:hAnsi="宋体" w:eastAsia="黑体"/>
          <w:szCs w:val="21"/>
        </w:rPr>
      </w:pPr>
      <w:r>
        <w:rPr>
          <w:rFonts w:hint="eastAsia" w:ascii="黑体" w:hAnsi="宋体" w:eastAsia="黑体"/>
          <w:szCs w:val="21"/>
        </w:rPr>
        <w:t>康正合字[201  ]    号</w:t>
      </w:r>
    </w:p>
    <w:p>
      <w:pPr>
        <w:adjustRightInd w:val="0"/>
        <w:snapToGrid w:val="0"/>
        <w:spacing w:line="560" w:lineRule="exact"/>
        <w:jc w:val="left"/>
        <w:rPr>
          <w:rFonts w:ascii="仿宋" w:hAnsi="仿宋" w:eastAsia="仿宋"/>
          <w:sz w:val="28"/>
          <w:szCs w:val="28"/>
        </w:rPr>
      </w:pPr>
    </w:p>
    <w:p>
      <w:pPr>
        <w:adjustRightInd w:val="0"/>
        <w:snapToGrid w:val="0"/>
        <w:spacing w:line="560" w:lineRule="exact"/>
        <w:jc w:val="left"/>
        <w:rPr>
          <w:rFonts w:ascii="仿宋" w:hAnsi="仿宋" w:eastAsia="仿宋"/>
          <w:sz w:val="28"/>
          <w:szCs w:val="28"/>
        </w:rPr>
      </w:pPr>
      <w:r>
        <w:rPr>
          <w:rFonts w:hint="eastAsia" w:ascii="仿宋" w:hAnsi="仿宋" w:eastAsia="仿宋"/>
          <w:sz w:val="28"/>
          <w:szCs w:val="28"/>
        </w:rPr>
        <w:t>委托人：</w:t>
      </w:r>
      <w:r>
        <w:rPr>
          <w:rFonts w:hint="eastAsia" w:ascii="仿宋" w:hAnsi="仿宋" w:eastAsia="仿宋"/>
          <w:sz w:val="28"/>
          <w:szCs w:val="28"/>
          <w:u w:val="single"/>
        </w:rPr>
        <w:t xml:space="preserve">  </w:t>
      </w:r>
      <w:r>
        <w:rPr>
          <w:rFonts w:hint="eastAsia" w:ascii="宋体" w:hAnsi="宋体"/>
          <w:b/>
          <w:bCs/>
          <w:sz w:val="24"/>
          <w:u w:val="single"/>
          <w:lang w:eastAsia="zh-CN"/>
        </w:rPr>
        <w:t>成都裕龙叁号房地产开发有限公司</w:t>
      </w:r>
      <w:r>
        <w:rPr>
          <w:rFonts w:hint="eastAsia" w:ascii="宋体" w:hAnsi="宋体"/>
          <w:bCs/>
          <w:sz w:val="24"/>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(以下简称甲方)</w:t>
      </w:r>
    </w:p>
    <w:p>
      <w:pPr>
        <w:adjustRightInd w:val="0"/>
        <w:snapToGrid w:val="0"/>
        <w:spacing w:line="560" w:lineRule="exact"/>
        <w:rPr>
          <w:rFonts w:ascii="仿宋" w:hAnsi="仿宋" w:eastAsia="仿宋"/>
          <w:sz w:val="28"/>
          <w:szCs w:val="28"/>
        </w:rPr>
      </w:pPr>
      <w:r>
        <w:rPr>
          <w:rFonts w:hint="eastAsia" w:ascii="仿宋" w:hAnsi="仿宋" w:eastAsia="仿宋"/>
          <w:sz w:val="28"/>
          <w:szCs w:val="28"/>
        </w:rPr>
        <w:t>评估机构：</w:t>
      </w:r>
      <w:r>
        <w:rPr>
          <w:rFonts w:hint="eastAsia" w:ascii="仿宋" w:hAnsi="仿宋" w:eastAsia="仿宋"/>
          <w:sz w:val="28"/>
          <w:szCs w:val="28"/>
          <w:u w:val="single"/>
        </w:rPr>
        <w:t xml:space="preserve"> </w:t>
      </w:r>
      <w:r>
        <w:rPr>
          <w:rFonts w:hint="eastAsia" w:ascii="宋体" w:hAnsi="宋体"/>
          <w:b/>
          <w:sz w:val="24"/>
          <w:u w:val="single"/>
        </w:rPr>
        <w:t>北京</w:t>
      </w:r>
      <w:r>
        <w:rPr>
          <w:rFonts w:hint="eastAsia" w:ascii="宋体" w:hAnsi="宋体"/>
          <w:b/>
          <w:bCs/>
          <w:sz w:val="24"/>
          <w:u w:val="single"/>
        </w:rPr>
        <w:t xml:space="preserve">康正宏基房地产评估有限公司 </w:t>
      </w:r>
      <w:r>
        <w:rPr>
          <w:rFonts w:hint="eastAsia" w:ascii="仿宋" w:hAnsi="仿宋" w:eastAsia="仿宋"/>
          <w:sz w:val="28"/>
          <w:szCs w:val="28"/>
          <w:u w:val="single"/>
        </w:rPr>
        <w:t xml:space="preserve"> </w:t>
      </w:r>
      <w:r>
        <w:rPr>
          <w:rFonts w:hint="eastAsia" w:ascii="仿宋" w:hAnsi="仿宋" w:eastAsia="仿宋"/>
          <w:sz w:val="28"/>
          <w:szCs w:val="28"/>
        </w:rPr>
        <w:t xml:space="preserve">   (以下简称乙方)</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签约各方</w:t>
      </w:r>
      <w:r>
        <w:rPr>
          <w:rFonts w:ascii="仿宋" w:hAnsi="仿宋" w:eastAsia="仿宋"/>
          <w:sz w:val="28"/>
          <w:szCs w:val="28"/>
        </w:rPr>
        <w:t>本着平等、互利、诚实信用的原则，根据</w:t>
      </w:r>
      <w:r>
        <w:rPr>
          <w:rFonts w:hint="eastAsia" w:ascii="仿宋" w:hAnsi="仿宋" w:eastAsia="仿宋"/>
          <w:sz w:val="28"/>
          <w:szCs w:val="28"/>
        </w:rPr>
        <w:t>《中华人民共和国合同法》、《中华人民共和国资产评估法》等国家</w:t>
      </w:r>
      <w:r>
        <w:rPr>
          <w:rFonts w:ascii="仿宋" w:hAnsi="仿宋" w:eastAsia="仿宋"/>
          <w:sz w:val="28"/>
          <w:szCs w:val="28"/>
        </w:rPr>
        <w:t>有关法律法规的规定，经协商一致，签订本合同，以昭共同信守</w:t>
      </w:r>
      <w:r>
        <w:rPr>
          <w:rFonts w:hint="eastAsia" w:ascii="仿宋" w:hAnsi="仿宋" w:eastAsia="仿宋"/>
          <w:sz w:val="28"/>
          <w:szCs w:val="28"/>
        </w:rPr>
        <w:t>。</w:t>
      </w:r>
    </w:p>
    <w:p>
      <w:pPr>
        <w:adjustRightInd w:val="0"/>
        <w:snapToGrid w:val="0"/>
        <w:spacing w:line="560" w:lineRule="exact"/>
        <w:rPr>
          <w:rFonts w:ascii="仿宋" w:hAnsi="仿宋" w:eastAsia="仿宋"/>
          <w:b/>
          <w:sz w:val="28"/>
          <w:szCs w:val="28"/>
        </w:rPr>
      </w:pPr>
      <w:r>
        <w:rPr>
          <w:rFonts w:hint="eastAsia" w:ascii="仿宋" w:hAnsi="仿宋" w:eastAsia="仿宋"/>
          <w:b/>
          <w:sz w:val="28"/>
          <w:szCs w:val="28"/>
        </w:rPr>
        <w:t>第一条 评估业务基本事项</w:t>
      </w:r>
    </w:p>
    <w:p>
      <w:pPr>
        <w:pStyle w:val="9"/>
        <w:adjustRightInd w:val="0"/>
        <w:snapToGrid w:val="0"/>
        <w:spacing w:before="0" w:beforeAutospacing="0" w:after="0" w:afterAutospacing="0" w:line="560" w:lineRule="exact"/>
        <w:ind w:firstLine="560" w:firstLineChars="200"/>
        <w:rPr>
          <w:rFonts w:ascii="仿宋" w:hAnsi="仿宋" w:eastAsia="仿宋"/>
          <w:sz w:val="28"/>
          <w:szCs w:val="28"/>
          <w:u w:val="single"/>
        </w:rPr>
      </w:pPr>
      <w:r>
        <w:rPr>
          <w:rFonts w:hint="eastAsia" w:ascii="仿宋" w:hAnsi="仿宋" w:eastAsia="仿宋"/>
          <w:sz w:val="28"/>
          <w:szCs w:val="28"/>
        </w:rPr>
        <w:t>(一)估价目的：</w:t>
      </w:r>
      <w:r>
        <w:rPr>
          <w:rFonts w:hint="eastAsia" w:ascii="仿宋" w:hAnsi="仿宋" w:eastAsia="仿宋"/>
          <w:sz w:val="28"/>
          <w:szCs w:val="28"/>
          <w:u w:val="single"/>
        </w:rPr>
        <w:t>为确定标的物之抵押贷款额度提供参考依据而评估出让国有建设用地使用权抵押价格</w:t>
      </w:r>
      <w:r>
        <w:rPr>
          <w:rFonts w:hint="eastAsia"/>
          <w:b/>
          <w:u w:val="single"/>
        </w:rPr>
        <w:t xml:space="preserve"> </w:t>
      </w:r>
      <w:r>
        <w:rPr>
          <w:rFonts w:hint="eastAsia" w:ascii="仿宋" w:hAnsi="仿宋" w:eastAsia="仿宋"/>
          <w:sz w:val="28"/>
          <w:szCs w:val="28"/>
          <w:u w:val="single"/>
        </w:rPr>
        <w:t>。</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(二)价值时点：</w:t>
      </w:r>
      <w:r>
        <w:rPr>
          <w:rFonts w:hint="eastAsia" w:ascii="仿宋" w:hAnsi="仿宋" w:eastAsia="仿宋"/>
          <w:sz w:val="28"/>
          <w:szCs w:val="28"/>
          <w:u w:val="single"/>
        </w:rPr>
        <w:t xml:space="preserve">  2019  年  3  月 27 日   </w:t>
      </w:r>
    </w:p>
    <w:p>
      <w:pPr>
        <w:spacing w:line="560" w:lineRule="exact"/>
        <w:ind w:firstLine="565" w:firstLineChars="202"/>
        <w:rPr>
          <w:rFonts w:ascii="仿宋" w:hAnsi="仿宋" w:eastAsia="仿宋"/>
          <w:sz w:val="28"/>
          <w:szCs w:val="28"/>
          <w:u w:val="single"/>
        </w:rPr>
      </w:pPr>
      <w:r>
        <w:rPr>
          <w:rFonts w:hint="eastAsia" w:ascii="仿宋" w:hAnsi="仿宋" w:eastAsia="仿宋" w:cs="宋体"/>
          <w:kern w:val="0"/>
          <w:sz w:val="28"/>
          <w:szCs w:val="28"/>
        </w:rPr>
        <w:t>(三)估价对象</w:t>
      </w:r>
      <w:r>
        <w:rPr>
          <w:rFonts w:hint="eastAsia" w:ascii="仿宋" w:hAnsi="仿宋" w:eastAsia="仿宋"/>
          <w:sz w:val="28"/>
          <w:szCs w:val="28"/>
        </w:rPr>
        <w:t>：</w:t>
      </w:r>
      <w:r>
        <w:rPr>
          <w:rFonts w:hint="eastAsia"/>
          <w:b/>
          <w:u w:val="single"/>
        </w:rPr>
        <w:t xml:space="preserve"> </w:t>
      </w:r>
      <w:r>
        <w:rPr>
          <w:rFonts w:hint="eastAsia" w:ascii="仿宋" w:hAnsi="仿宋" w:eastAsia="仿宋" w:cs="宋体"/>
          <w:kern w:val="0"/>
          <w:sz w:val="28"/>
          <w:szCs w:val="28"/>
          <w:u w:val="single"/>
        </w:rPr>
        <w:t>四川省成都市龙泉驿区同安街道办事处锦绣路以西部分住宅、商业用地以及同安街办锦宏路全部住宅、商业用地出让国有建设用地使用权。</w:t>
      </w:r>
    </w:p>
    <w:p>
      <w:pPr>
        <w:pStyle w:val="9"/>
        <w:adjustRightInd w:val="0"/>
        <w:snapToGrid w:val="0"/>
        <w:spacing w:before="0" w:beforeAutospacing="0" w:after="0" w:afterAutospacing="0" w:line="560" w:lineRule="exact"/>
        <w:ind w:firstLine="565" w:firstLineChars="202"/>
        <w:rPr>
          <w:rFonts w:ascii="仿宋" w:hAnsi="仿宋" w:eastAsia="仿宋"/>
          <w:sz w:val="28"/>
          <w:szCs w:val="28"/>
        </w:rPr>
      </w:pPr>
      <w:r>
        <w:rPr>
          <w:rFonts w:hint="eastAsia" w:ascii="仿宋" w:hAnsi="仿宋" w:eastAsia="仿宋"/>
          <w:sz w:val="28"/>
          <w:szCs w:val="28"/>
        </w:rPr>
        <w:t>(四)价值类型：</w:t>
      </w:r>
      <w:r>
        <w:rPr>
          <w:rFonts w:hint="eastAsia" w:ascii="仿宋" w:hAnsi="仿宋" w:eastAsia="仿宋"/>
          <w:sz w:val="28"/>
          <w:szCs w:val="28"/>
          <w:u w:val="single"/>
        </w:rPr>
        <w:t xml:space="preserve"> 抵押价值</w:t>
      </w:r>
      <w:r>
        <w:rPr>
          <w:rFonts w:hint="eastAsia" w:ascii="仿宋" w:hAnsi="仿宋" w:eastAsia="仿宋"/>
          <w:sz w:val="28"/>
          <w:szCs w:val="28"/>
        </w:rPr>
        <w:t>。</w:t>
      </w:r>
    </w:p>
    <w:p>
      <w:pPr>
        <w:pStyle w:val="9"/>
        <w:adjustRightInd w:val="0"/>
        <w:snapToGrid w:val="0"/>
        <w:spacing w:before="0" w:beforeAutospacing="0" w:after="0" w:afterAutospacing="0" w:line="560" w:lineRule="exact"/>
        <w:ind w:left="239" w:leftChars="114" w:firstLine="327" w:firstLineChars="117"/>
        <w:rPr>
          <w:rFonts w:ascii="仿宋" w:hAnsi="仿宋" w:eastAsia="仿宋"/>
          <w:sz w:val="28"/>
          <w:szCs w:val="28"/>
        </w:rPr>
      </w:pPr>
      <w:r>
        <w:rPr>
          <w:rFonts w:hint="eastAsia" w:ascii="仿宋" w:hAnsi="仿宋" w:eastAsia="仿宋"/>
          <w:sz w:val="28"/>
          <w:szCs w:val="28"/>
        </w:rPr>
        <w:t>(五)评估报告使用范围</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、本合同约定的评估报告仅供委托人在</w:t>
      </w:r>
      <w:r>
        <w:rPr>
          <w:rFonts w:hint="eastAsia" w:ascii="仿宋" w:hAnsi="仿宋" w:eastAsia="仿宋"/>
          <w:sz w:val="28"/>
          <w:szCs w:val="28"/>
          <w:u w:val="single"/>
        </w:rPr>
        <w:t xml:space="preserve"> 办理抵押贷款时使用</w:t>
      </w:r>
      <w:r>
        <w:rPr>
          <w:rFonts w:hint="eastAsia" w:ascii="仿宋" w:hAnsi="仿宋" w:eastAsia="仿宋"/>
          <w:sz w:val="28"/>
          <w:szCs w:val="28"/>
        </w:rPr>
        <w:t>。任何机构和个人不能由于得到评估报告而成为评估报告的使用人，法律、法规另有规定的除外。</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、委托人或者评估报告使用人应当按照法律规定和评估报告载明的使用目的及用途使用评估报告。</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、未经委托人书面许可，评估机构、评估师和其他评估专业人员不得将评估报告的内容向第三方提供或者公开，法律、法规另有规定的除外。</w:t>
      </w:r>
    </w:p>
    <w:p>
      <w:pPr>
        <w:adjustRightInd w:val="0"/>
        <w:snapToGrid w:val="0"/>
        <w:spacing w:line="560" w:lineRule="exact"/>
        <w:ind w:firstLine="565" w:firstLineChars="202"/>
        <w:rPr>
          <w:rFonts w:ascii="仿宋" w:hAnsi="仿宋" w:eastAsia="仿宋"/>
          <w:sz w:val="28"/>
          <w:szCs w:val="28"/>
        </w:rPr>
      </w:pPr>
      <w:r>
        <w:rPr>
          <w:rFonts w:hint="eastAsia" w:ascii="仿宋" w:hAnsi="仿宋" w:eastAsia="仿宋"/>
          <w:sz w:val="28"/>
          <w:szCs w:val="28"/>
        </w:rPr>
        <w:t>（六）本估价项目负责人：</w:t>
      </w:r>
      <w:r>
        <w:rPr>
          <w:rFonts w:hint="eastAsia" w:ascii="仿宋" w:hAnsi="仿宋" w:eastAsia="仿宋"/>
          <w:sz w:val="28"/>
          <w:szCs w:val="28"/>
          <w:u w:val="single"/>
        </w:rPr>
        <w:t xml:space="preserve"> 王鹏  </w:t>
      </w:r>
      <w:r>
        <w:rPr>
          <w:rFonts w:hint="eastAsia" w:ascii="仿宋" w:hAnsi="仿宋" w:eastAsia="仿宋"/>
          <w:sz w:val="28"/>
          <w:szCs w:val="28"/>
        </w:rPr>
        <w:t>，注册号：</w:t>
      </w:r>
      <w:r>
        <w:rPr>
          <w:rFonts w:hint="eastAsia" w:ascii="仿宋" w:hAnsi="仿宋" w:eastAsia="仿宋"/>
          <w:sz w:val="28"/>
          <w:szCs w:val="28"/>
          <w:u w:val="single"/>
        </w:rPr>
        <w:t xml:space="preserve"> </w:t>
      </w:r>
      <w:r>
        <w:rPr>
          <w:rFonts w:ascii="仿宋" w:hAnsi="仿宋" w:eastAsia="仿宋"/>
          <w:sz w:val="28"/>
          <w:szCs w:val="28"/>
          <w:u w:val="single"/>
        </w:rPr>
        <w:t>2002110030</w:t>
      </w:r>
      <w:r>
        <w:rPr>
          <w:rFonts w:hint="eastAsia" w:ascii="仿宋" w:hAnsi="仿宋" w:eastAsia="仿宋"/>
          <w:sz w:val="28"/>
          <w:szCs w:val="28"/>
          <w:u w:val="single"/>
        </w:rPr>
        <w:t xml:space="preserve"> </w:t>
      </w:r>
      <w:r>
        <w:rPr>
          <w:rFonts w:hint="eastAsia" w:ascii="仿宋" w:hAnsi="仿宋" w:eastAsia="仿宋"/>
          <w:sz w:val="28"/>
          <w:szCs w:val="28"/>
        </w:rPr>
        <w:t>。</w:t>
      </w:r>
    </w:p>
    <w:p>
      <w:pPr>
        <w:adjustRightInd w:val="0"/>
        <w:snapToGrid w:val="0"/>
        <w:spacing w:line="560" w:lineRule="exact"/>
        <w:ind w:firstLine="565" w:firstLineChars="202"/>
        <w:rPr>
          <w:rFonts w:ascii="仿宋" w:hAnsi="仿宋" w:eastAsia="仿宋"/>
          <w:sz w:val="28"/>
          <w:szCs w:val="28"/>
        </w:rPr>
      </w:pPr>
      <w:r>
        <w:rPr>
          <w:rFonts w:hint="eastAsia" w:ascii="仿宋" w:hAnsi="仿宋" w:eastAsia="仿宋"/>
          <w:sz w:val="28"/>
          <w:szCs w:val="28"/>
        </w:rPr>
        <w:t>（七）其它约定：</w:t>
      </w:r>
      <w:r>
        <w:rPr>
          <w:rFonts w:hint="eastAsia" w:ascii="仿宋" w:hAnsi="仿宋" w:eastAsia="仿宋"/>
          <w:sz w:val="28"/>
          <w:szCs w:val="28"/>
          <w:u w:val="single"/>
        </w:rPr>
        <w:t xml:space="preserve">          /             。</w:t>
      </w:r>
    </w:p>
    <w:p>
      <w:pPr>
        <w:pStyle w:val="9"/>
        <w:adjustRightInd w:val="0"/>
        <w:snapToGrid w:val="0"/>
        <w:spacing w:before="0" w:beforeAutospacing="0" w:after="0" w:afterAutospacing="0" w:line="560" w:lineRule="exact"/>
        <w:rPr>
          <w:rFonts w:ascii="仿宋" w:hAnsi="仿宋" w:eastAsia="仿宋"/>
          <w:b/>
          <w:sz w:val="28"/>
          <w:szCs w:val="28"/>
        </w:rPr>
      </w:pPr>
      <w:r>
        <w:rPr>
          <w:rFonts w:hint="eastAsia" w:ascii="仿宋" w:hAnsi="仿宋" w:eastAsia="仿宋"/>
          <w:b/>
          <w:sz w:val="28"/>
          <w:szCs w:val="28"/>
        </w:rPr>
        <w:t>第二条 评估报告提交时间</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（一）乙方接到甲方通知后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10</w:t>
      </w:r>
      <w:r>
        <w:rPr>
          <w:rFonts w:hint="eastAsia" w:ascii="仿宋" w:hAnsi="仿宋" w:eastAsia="仿宋"/>
          <w:sz w:val="28"/>
          <w:szCs w:val="28"/>
          <w:u w:val="single"/>
        </w:rPr>
        <w:t xml:space="preserve">  个</w:t>
      </w:r>
      <w:r>
        <w:rPr>
          <w:rFonts w:hint="eastAsia" w:ascii="仿宋" w:hAnsi="仿宋" w:eastAsia="仿宋"/>
          <w:sz w:val="28"/>
          <w:szCs w:val="28"/>
        </w:rPr>
        <w:t>工作日</w:t>
      </w:r>
      <w:r>
        <w:rPr>
          <w:rFonts w:ascii="仿宋" w:hAnsi="仿宋" w:eastAsia="仿宋"/>
          <w:sz w:val="28"/>
          <w:szCs w:val="28"/>
        </w:rPr>
        <w:t>向甲方出具</w:t>
      </w:r>
      <w:r>
        <w:rPr>
          <w:rFonts w:hint="eastAsia" w:ascii="仿宋" w:hAnsi="仿宋" w:eastAsia="仿宋"/>
          <w:sz w:val="28"/>
          <w:szCs w:val="28"/>
        </w:rPr>
        <w:t>评估报告书</w:t>
      </w:r>
      <w:r>
        <w:rPr>
          <w:rFonts w:ascii="仿宋" w:hAnsi="仿宋" w:eastAsia="仿宋"/>
          <w:sz w:val="28"/>
          <w:szCs w:val="28"/>
        </w:rPr>
        <w:t>一式</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4</w:t>
      </w:r>
      <w:r>
        <w:rPr>
          <w:rFonts w:hint="eastAsia" w:ascii="仿宋" w:hAnsi="仿宋" w:eastAsia="仿宋"/>
          <w:sz w:val="28"/>
          <w:szCs w:val="28"/>
          <w:u w:val="single"/>
        </w:rPr>
        <w:t xml:space="preserve"> </w:t>
      </w:r>
      <w:r>
        <w:rPr>
          <w:rFonts w:ascii="仿宋" w:hAnsi="仿宋" w:eastAsia="仿宋"/>
          <w:sz w:val="28"/>
          <w:szCs w:val="28"/>
        </w:rPr>
        <w:t>份</w:t>
      </w:r>
      <w:r>
        <w:rPr>
          <w:rFonts w:hint="eastAsia" w:ascii="仿宋" w:hAnsi="仿宋" w:eastAsia="仿宋"/>
          <w:sz w:val="28"/>
          <w:szCs w:val="28"/>
        </w:rPr>
        <w:t>。</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（二）其它约定：</w:t>
      </w:r>
      <w:r>
        <w:rPr>
          <w:rFonts w:hint="eastAsia" w:ascii="仿宋" w:hAnsi="仿宋" w:eastAsia="仿宋"/>
          <w:sz w:val="28"/>
          <w:szCs w:val="28"/>
          <w:u w:val="single"/>
        </w:rPr>
        <w:t xml:space="preserve">          /             。</w:t>
      </w:r>
    </w:p>
    <w:p>
      <w:pPr>
        <w:adjustRightInd w:val="0"/>
        <w:snapToGrid w:val="0"/>
        <w:spacing w:line="560" w:lineRule="exact"/>
        <w:rPr>
          <w:rFonts w:ascii="仿宋" w:hAnsi="仿宋" w:eastAsia="仿宋" w:cs="宋体"/>
          <w:b/>
          <w:kern w:val="0"/>
          <w:sz w:val="28"/>
          <w:szCs w:val="28"/>
        </w:rPr>
      </w:pPr>
      <w:r>
        <w:rPr>
          <w:rFonts w:hint="eastAsia" w:ascii="仿宋" w:hAnsi="仿宋" w:eastAsia="仿宋" w:cs="宋体"/>
          <w:b/>
          <w:kern w:val="0"/>
          <w:sz w:val="28"/>
          <w:szCs w:val="28"/>
        </w:rPr>
        <w:t>第三条 评估服务费用及支付方式</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cs="宋体"/>
          <w:kern w:val="0"/>
          <w:sz w:val="28"/>
          <w:szCs w:val="28"/>
        </w:rPr>
        <w:t xml:space="preserve">（一）本评估服务费总金额为 </w:t>
      </w:r>
      <w:r>
        <w:rPr>
          <w:rFonts w:hint="eastAsia" w:ascii="仿宋" w:hAnsi="仿宋" w:eastAsia="仿宋" w:cs="宋体"/>
          <w:kern w:val="0"/>
          <w:sz w:val="28"/>
          <w:szCs w:val="28"/>
          <w:u w:val="single"/>
        </w:rPr>
        <w:t xml:space="preserve"> 20万元</w:t>
      </w:r>
      <w:r>
        <w:rPr>
          <w:rFonts w:hint="eastAsia" w:ascii="仿宋" w:hAnsi="仿宋" w:eastAsia="仿宋" w:cs="宋体"/>
          <w:kern w:val="0"/>
          <w:sz w:val="28"/>
          <w:szCs w:val="28"/>
        </w:rPr>
        <w:t>，大写人民币</w:t>
      </w:r>
      <w:r>
        <w:rPr>
          <w:rFonts w:hint="eastAsia" w:ascii="仿宋" w:hAnsi="仿宋" w:eastAsia="仿宋" w:cs="宋体"/>
          <w:kern w:val="0"/>
          <w:sz w:val="28"/>
          <w:szCs w:val="28"/>
          <w:u w:val="single"/>
        </w:rPr>
        <w:t xml:space="preserve"> 贰拾万元整 </w:t>
      </w:r>
      <w:r>
        <w:rPr>
          <w:rFonts w:hint="eastAsia" w:ascii="仿宋" w:hAnsi="仿宋" w:eastAsia="仿宋" w:cs="宋体"/>
          <w:kern w:val="0"/>
          <w:sz w:val="28"/>
          <w:szCs w:val="28"/>
        </w:rPr>
        <w:t xml:space="preserve"> 。</w:t>
      </w:r>
      <w:r>
        <w:rPr>
          <w:rFonts w:ascii="仿宋" w:hAnsi="仿宋" w:eastAsia="仿宋"/>
          <w:sz w:val="28"/>
          <w:szCs w:val="28"/>
        </w:rPr>
        <w:t>此费用为包干费用，包括但不限于相关调查费用、</w:t>
      </w:r>
      <w:r>
        <w:rPr>
          <w:rFonts w:hint="eastAsia" w:ascii="仿宋" w:hAnsi="仿宋" w:eastAsia="仿宋"/>
          <w:sz w:val="28"/>
          <w:szCs w:val="28"/>
        </w:rPr>
        <w:t>评估</w:t>
      </w:r>
      <w:r>
        <w:rPr>
          <w:rFonts w:ascii="仿宋" w:hAnsi="仿宋" w:eastAsia="仿宋"/>
          <w:sz w:val="28"/>
          <w:szCs w:val="28"/>
        </w:rPr>
        <w:t>服务费、报告打印编制费、劳务费用、加班费</w:t>
      </w:r>
      <w:r>
        <w:rPr>
          <w:rFonts w:hint="eastAsia" w:ascii="仿宋" w:hAnsi="仿宋" w:eastAsia="仿宋"/>
          <w:sz w:val="28"/>
          <w:szCs w:val="28"/>
        </w:rPr>
        <w:t>、</w:t>
      </w:r>
      <w:r>
        <w:rPr>
          <w:rFonts w:ascii="仿宋" w:hAnsi="仿宋" w:eastAsia="仿宋"/>
          <w:sz w:val="28"/>
          <w:szCs w:val="28"/>
        </w:rPr>
        <w:t>差旅费</w:t>
      </w:r>
      <w:r>
        <w:rPr>
          <w:rFonts w:hint="eastAsia" w:ascii="仿宋" w:hAnsi="仿宋" w:eastAsia="仿宋"/>
          <w:sz w:val="28"/>
          <w:szCs w:val="28"/>
        </w:rPr>
        <w:t>、</w:t>
      </w:r>
      <w:r>
        <w:rPr>
          <w:rFonts w:ascii="仿宋" w:hAnsi="仿宋" w:eastAsia="仿宋"/>
          <w:sz w:val="28"/>
          <w:szCs w:val="28"/>
        </w:rPr>
        <w:t>查档费等完成合同约定事项的所有费用，以及乙方因履行合同而应承担的全部税款（包括但不限于增值税、印花税、所得税等其他各项税款及附加税金或费用）。</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（二）甲方收到验收合格的房地产咨询估价报告后，一次性付清合同款项。甲方在付款前，乙方应提交合法有效的增值税专用发票。</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假发票约定</w:t>
      </w:r>
      <w:r>
        <w:rPr>
          <w:rFonts w:hint="eastAsia" w:ascii="仿宋" w:hAnsi="仿宋" w:eastAsia="仿宋"/>
          <w:sz w:val="28"/>
          <w:szCs w:val="28"/>
        </w:rPr>
        <w:t>：</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乙方提交虚假发票，甲方有权解除合同。</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双方确认：原合同的价格（单价及总价）已含乙方因履行合同而应承担的全部税款（包括但不限于增值税、印花税、所得税等其他各项税款及附加税金或费用）。</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乙方在向甲方领取每次款项前，乙方应向甲方出具经甲方确认的合法有效的</w:t>
      </w:r>
      <w:r>
        <w:rPr>
          <w:rFonts w:hint="eastAsia" w:ascii="仿宋" w:hAnsi="仿宋" w:eastAsia="仿宋"/>
          <w:sz w:val="28"/>
          <w:szCs w:val="28"/>
          <w:u w:val="single"/>
        </w:rPr>
        <w:t>6</w:t>
      </w:r>
      <w:r>
        <w:rPr>
          <w:rFonts w:ascii="仿宋" w:hAnsi="仿宋" w:eastAsia="仿宋"/>
          <w:sz w:val="28"/>
          <w:szCs w:val="28"/>
          <w:u w:val="single"/>
        </w:rPr>
        <w:t>%</w:t>
      </w:r>
      <w:r>
        <w:rPr>
          <w:rFonts w:ascii="仿宋" w:hAnsi="仿宋" w:eastAsia="仿宋"/>
          <w:sz w:val="28"/>
          <w:szCs w:val="28"/>
        </w:rPr>
        <w:t>增值税专用发票（该发票应由乙方开具或由工程所在地税务部门代开）。如乙方未及时提交上述发票或提交的发票不符合甲方要求的，甲方有权不支付款项。</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5、在本合同履行过程中，如国家发布新政策调整税率的，在新政策生效日前已经付款的合同金额，应当按照政策调整前税率开具发票，如无法按照调整前税率开具发票的，受票方有权在后期应付合同款项中扣除税率调整前后的差额金额或由开票方向受票方补齐差额金额。国家新政策生效之日后的应付合同款项未开具发票且无法按照原税率开具发票的，应当按照新政策确定的税率开具发票及计算剩余应付款项金额；如本合同涉及含税价的，则税率调整后的含税单价（或剩余总价）=税率调整前合同含税单价（或剩余总价）/（1+调整前税率）*（1+调整后税率）。</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ascii="仿宋" w:hAnsi="仿宋" w:eastAsia="仿宋"/>
          <w:sz w:val="28"/>
          <w:szCs w:val="28"/>
        </w:rPr>
        <w:t>6、乙方应提供营业执照、纳税人税务登记证、统一社会信用代码复印件等证明乙方增值税纳税人资格的相关资质证明文件，复印件均应加盖公章（红章）。乙方应确保相关证明文件的真实性，如因提供虚假证明文件给甲方造成的损失全部由乙方承担。</w:t>
      </w:r>
    </w:p>
    <w:p>
      <w:pPr>
        <w:tabs>
          <w:tab w:val="left" w:pos="720"/>
        </w:tabs>
        <w:spacing w:before="62" w:beforeLines="20" w:after="62" w:afterLines="20" w:line="360" w:lineRule="auto"/>
        <w:rPr>
          <w:rFonts w:ascii="宋体" w:hAnsi="宋体"/>
          <w:sz w:val="24"/>
          <w:u w:val="single"/>
        </w:rPr>
      </w:pPr>
      <w:r>
        <w:rPr>
          <w:rFonts w:hint="eastAsia" w:ascii="仿宋" w:hAnsi="仿宋" w:eastAsia="仿宋"/>
          <w:sz w:val="28"/>
          <w:szCs w:val="28"/>
        </w:rPr>
        <w:t>纳税人识别号：</w:t>
      </w:r>
      <w:r>
        <w:rPr>
          <w:rFonts w:hint="eastAsia" w:ascii="仿宋" w:hAnsi="仿宋" w:eastAsia="仿宋"/>
          <w:sz w:val="28"/>
          <w:szCs w:val="28"/>
          <w:u w:val="single"/>
        </w:rPr>
        <w:t xml:space="preserve"> </w:t>
      </w:r>
      <w:r>
        <w:rPr>
          <w:rFonts w:hint="eastAsia" w:ascii="仿宋" w:hAnsi="仿宋" w:eastAsia="仿宋" w:cs="宋体"/>
          <w:kern w:val="0"/>
          <w:sz w:val="28"/>
          <w:szCs w:val="28"/>
          <w:u w:val="single"/>
        </w:rPr>
        <w:t>91110106722616974K</w:t>
      </w:r>
    </w:p>
    <w:p>
      <w:pPr>
        <w:tabs>
          <w:tab w:val="left" w:pos="720"/>
        </w:tabs>
        <w:spacing w:before="62" w:beforeLines="20" w:after="62" w:afterLines="20" w:line="360" w:lineRule="auto"/>
        <w:rPr>
          <w:rFonts w:ascii="仿宋" w:hAnsi="仿宋" w:eastAsia="仿宋"/>
          <w:sz w:val="28"/>
          <w:szCs w:val="28"/>
        </w:rPr>
      </w:pPr>
      <w:r>
        <w:rPr>
          <w:rFonts w:hint="eastAsia" w:ascii="仿宋" w:hAnsi="仿宋" w:eastAsia="仿宋"/>
          <w:sz w:val="28"/>
          <w:szCs w:val="28"/>
        </w:rPr>
        <w:t>统一社会信用代码：</w:t>
      </w:r>
      <w:r>
        <w:rPr>
          <w:rFonts w:hint="eastAsia" w:ascii="仿宋" w:hAnsi="仿宋" w:eastAsia="仿宋"/>
          <w:sz w:val="28"/>
          <w:szCs w:val="28"/>
          <w:u w:val="single"/>
        </w:rPr>
        <w:t xml:space="preserve">         /           </w:t>
      </w:r>
    </w:p>
    <w:p>
      <w:pPr>
        <w:pStyle w:val="9"/>
        <w:spacing w:line="560" w:lineRule="exact"/>
        <w:rPr>
          <w:rFonts w:ascii="仿宋" w:hAnsi="仿宋" w:eastAsia="仿宋"/>
          <w:sz w:val="28"/>
          <w:szCs w:val="28"/>
        </w:rPr>
      </w:pPr>
      <w:r>
        <w:rPr>
          <w:rFonts w:hint="eastAsia" w:ascii="仿宋" w:hAnsi="仿宋" w:eastAsia="仿宋"/>
          <w:sz w:val="28"/>
          <w:szCs w:val="28"/>
        </w:rPr>
        <w:t>税务登记地址：</w:t>
      </w:r>
      <w:r>
        <w:rPr>
          <w:rFonts w:hint="eastAsia" w:ascii="仿宋" w:hAnsi="仿宋" w:eastAsia="仿宋"/>
          <w:sz w:val="28"/>
          <w:szCs w:val="28"/>
          <w:u w:val="single"/>
        </w:rPr>
        <w:t xml:space="preserve">          /             </w:t>
      </w:r>
    </w:p>
    <w:p>
      <w:pPr>
        <w:pStyle w:val="9"/>
        <w:spacing w:line="560" w:lineRule="exact"/>
        <w:ind w:firstLine="280" w:firstLineChars="100"/>
        <w:rPr>
          <w:rFonts w:ascii="仿宋" w:hAnsi="仿宋" w:eastAsia="仿宋"/>
          <w:sz w:val="28"/>
          <w:szCs w:val="28"/>
        </w:rPr>
      </w:pPr>
      <w:r>
        <w:rPr>
          <w:rFonts w:hint="eastAsia" w:ascii="仿宋" w:hAnsi="仿宋" w:eastAsia="仿宋"/>
          <w:sz w:val="28"/>
          <w:szCs w:val="28"/>
        </w:rPr>
        <w:t>电        话：</w:t>
      </w:r>
      <w:r>
        <w:rPr>
          <w:rFonts w:hint="eastAsia" w:ascii="仿宋" w:hAnsi="仿宋" w:eastAsia="仿宋"/>
          <w:sz w:val="28"/>
          <w:szCs w:val="28"/>
          <w:u w:val="single"/>
        </w:rPr>
        <w:t xml:space="preserve"> 82253558      </w:t>
      </w:r>
    </w:p>
    <w:p>
      <w:pPr>
        <w:tabs>
          <w:tab w:val="left" w:pos="720"/>
        </w:tabs>
        <w:spacing w:before="62" w:beforeLines="20" w:after="62" w:afterLines="20" w:line="360" w:lineRule="auto"/>
        <w:ind w:firstLine="560" w:firstLineChars="200"/>
        <w:rPr>
          <w:rFonts w:ascii="仿宋" w:hAnsi="仿宋" w:eastAsia="仿宋"/>
          <w:sz w:val="28"/>
          <w:szCs w:val="28"/>
        </w:rPr>
      </w:pPr>
      <w:r>
        <w:rPr>
          <w:rFonts w:hint="eastAsia" w:ascii="仿宋" w:hAnsi="仿宋" w:eastAsia="仿宋"/>
          <w:sz w:val="28"/>
          <w:szCs w:val="28"/>
        </w:rPr>
        <w:t>开户行及帐号：</w:t>
      </w:r>
    </w:p>
    <w:p>
      <w:pPr>
        <w:tabs>
          <w:tab w:val="left" w:pos="720"/>
        </w:tabs>
        <w:spacing w:before="62" w:beforeLines="20" w:after="62" w:afterLines="20" w:line="360" w:lineRule="auto"/>
        <w:ind w:firstLine="560" w:firstLineChars="200"/>
        <w:rPr>
          <w:rFonts w:ascii="宋体" w:hAnsi="宋体"/>
          <w:sz w:val="24"/>
        </w:rPr>
      </w:pPr>
      <w:r>
        <w:rPr>
          <w:rFonts w:hint="eastAsia" w:ascii="仿宋" w:hAnsi="仿宋" w:eastAsia="仿宋" w:cs="宋体"/>
          <w:kern w:val="0"/>
          <w:sz w:val="28"/>
          <w:szCs w:val="28"/>
          <w:u w:val="single"/>
        </w:rPr>
        <w:t xml:space="preserve">交通银行北京中轴路支行110060739012015026873 </w:t>
      </w:r>
    </w:p>
    <w:p>
      <w:pPr>
        <w:adjustRightInd w:val="0"/>
        <w:snapToGrid w:val="0"/>
        <w:spacing w:line="560" w:lineRule="exact"/>
        <w:ind w:firstLine="560" w:firstLineChars="200"/>
        <w:rPr>
          <w:sz w:val="28"/>
          <w:szCs w:val="28"/>
        </w:rPr>
      </w:pPr>
      <w:r>
        <w:rPr>
          <w:rFonts w:hint="eastAsia" w:ascii="仿宋" w:hAnsi="仿宋" w:eastAsia="仿宋"/>
          <w:sz w:val="28"/>
          <w:szCs w:val="28"/>
        </w:rPr>
        <w:t>联 络 邮 箱：</w:t>
      </w:r>
      <w:r>
        <w:rPr>
          <w:rFonts w:hint="eastAsia" w:ascii="仿宋" w:hAnsi="仿宋" w:eastAsia="仿宋"/>
          <w:sz w:val="28"/>
          <w:szCs w:val="28"/>
          <w:u w:val="single"/>
        </w:rPr>
        <w:t xml:space="preserve">       13701191625@126.com</w:t>
      </w:r>
      <w:bookmarkStart w:id="2" w:name="_GoBack"/>
      <w:bookmarkEnd w:id="2"/>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hint="eastAsia"/>
          <w:sz w:val="28"/>
          <w:szCs w:val="28"/>
        </w:rPr>
        <w:t>   </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（四）其它约定：</w:t>
      </w:r>
      <w:r>
        <w:rPr>
          <w:rFonts w:hint="eastAsia" w:ascii="仿宋" w:hAnsi="仿宋" w:eastAsia="仿宋"/>
          <w:sz w:val="28"/>
          <w:szCs w:val="28"/>
          <w:u w:val="single"/>
        </w:rPr>
        <w:t xml:space="preserve">         /              。</w:t>
      </w:r>
    </w:p>
    <w:p>
      <w:pPr>
        <w:pStyle w:val="9"/>
        <w:adjustRightInd w:val="0"/>
        <w:snapToGrid w:val="0"/>
        <w:spacing w:before="0" w:beforeAutospacing="0" w:after="0" w:afterAutospacing="0" w:line="560" w:lineRule="exact"/>
        <w:rPr>
          <w:rFonts w:ascii="仿宋" w:hAnsi="仿宋" w:eastAsia="仿宋"/>
          <w:b/>
          <w:sz w:val="28"/>
          <w:szCs w:val="28"/>
        </w:rPr>
      </w:pPr>
      <w:r>
        <w:rPr>
          <w:rFonts w:hint="eastAsia" w:ascii="仿宋" w:hAnsi="仿宋" w:eastAsia="仿宋"/>
          <w:b/>
          <w:sz w:val="28"/>
          <w:szCs w:val="28"/>
        </w:rPr>
        <w:t>第四条 双方权利义务</w:t>
      </w:r>
    </w:p>
    <w:p>
      <w:pPr>
        <w:pStyle w:val="9"/>
        <w:adjustRightInd w:val="0"/>
        <w:snapToGrid w:val="0"/>
        <w:spacing w:before="0" w:beforeAutospacing="0" w:after="0" w:afterAutospacing="0" w:line="56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（一）甲方的权利和义务</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1、甲方应于</w:t>
      </w:r>
      <w:r>
        <w:rPr>
          <w:rFonts w:hint="eastAsia" w:ascii="仿宋" w:hAnsi="仿宋" w:eastAsia="仿宋"/>
          <w:sz w:val="28"/>
          <w:szCs w:val="28"/>
          <w:u w:val="single"/>
        </w:rPr>
        <w:t xml:space="preserve"> / </w:t>
      </w:r>
      <w:r>
        <w:rPr>
          <w:rFonts w:hint="eastAsia" w:ascii="仿宋" w:hAnsi="仿宋" w:eastAsia="仿宋"/>
          <w:sz w:val="28"/>
          <w:szCs w:val="28"/>
        </w:rPr>
        <w:t>年</w:t>
      </w:r>
      <w:bookmarkStart w:id="0" w:name="OLE_LINK1"/>
      <w:bookmarkStart w:id="1" w:name="OLE_LINK2"/>
      <w:r>
        <w:rPr>
          <w:rFonts w:ascii="仿宋" w:hAnsi="仿宋" w:eastAsia="仿宋"/>
          <w:sz w:val="28"/>
          <w:szCs w:val="28"/>
          <w:u w:val="single"/>
        </w:rPr>
        <w:t xml:space="preserve"> </w:t>
      </w:r>
      <w:r>
        <w:rPr>
          <w:rFonts w:hint="eastAsia" w:ascii="仿宋" w:hAnsi="仿宋" w:eastAsia="仿宋"/>
          <w:sz w:val="28"/>
          <w:szCs w:val="28"/>
          <w:u w:val="single"/>
        </w:rPr>
        <w:t>/</w:t>
      </w:r>
      <w:r>
        <w:rPr>
          <w:rFonts w:ascii="仿宋" w:hAnsi="仿宋" w:eastAsia="仿宋"/>
          <w:sz w:val="28"/>
          <w:szCs w:val="28"/>
          <w:u w:val="single"/>
        </w:rPr>
        <w:t xml:space="preserve"> </w:t>
      </w:r>
      <w:bookmarkEnd w:id="0"/>
      <w:bookmarkEnd w:id="1"/>
      <w:r>
        <w:rPr>
          <w:rFonts w:hint="eastAsia" w:ascii="仿宋" w:hAnsi="仿宋" w:eastAsia="仿宋"/>
          <w:sz w:val="28"/>
          <w:szCs w:val="28"/>
        </w:rPr>
        <w:t>月</w:t>
      </w:r>
      <w:r>
        <w:rPr>
          <w:rFonts w:hint="eastAsia" w:ascii="仿宋" w:hAnsi="仿宋" w:eastAsia="仿宋"/>
          <w:sz w:val="28"/>
          <w:szCs w:val="28"/>
          <w:u w:val="single"/>
        </w:rPr>
        <w:t xml:space="preserve"> / </w:t>
      </w:r>
      <w:r>
        <w:rPr>
          <w:rFonts w:hint="eastAsia" w:ascii="仿宋" w:hAnsi="仿宋" w:eastAsia="仿宋"/>
          <w:sz w:val="28"/>
          <w:szCs w:val="28"/>
        </w:rPr>
        <w:t>日以前，按乙方提交的评估资料清单，将本次评估范围内估价对象所必要的资料提交给乙方</w:t>
      </w:r>
      <w:r>
        <w:rPr>
          <w:rFonts w:ascii="仿宋" w:hAnsi="仿宋" w:eastAsia="仿宋"/>
          <w:sz w:val="28"/>
          <w:szCs w:val="28"/>
        </w:rPr>
        <w:t>，</w:t>
      </w:r>
      <w:r>
        <w:rPr>
          <w:rFonts w:hint="eastAsia" w:ascii="仿宋" w:hAnsi="仿宋" w:eastAsia="仿宋"/>
          <w:sz w:val="28"/>
          <w:szCs w:val="28"/>
        </w:rPr>
        <w:t>甲方应对所提供资料的真实性、合法性、完整性负责。</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2、甲方应当为</w:t>
      </w:r>
      <w:r>
        <w:rPr>
          <w:rFonts w:ascii="仿宋" w:hAnsi="仿宋" w:eastAsia="仿宋"/>
          <w:sz w:val="28"/>
          <w:szCs w:val="28"/>
        </w:rPr>
        <w:t>乙方</w:t>
      </w:r>
      <w:r>
        <w:rPr>
          <w:rFonts w:hint="eastAsia" w:ascii="仿宋" w:hAnsi="仿宋" w:eastAsia="仿宋"/>
          <w:sz w:val="28"/>
          <w:szCs w:val="28"/>
        </w:rPr>
        <w:t>委</w:t>
      </w:r>
      <w:r>
        <w:rPr>
          <w:rFonts w:ascii="仿宋" w:hAnsi="仿宋" w:eastAsia="仿宋"/>
          <w:sz w:val="28"/>
          <w:szCs w:val="28"/>
        </w:rPr>
        <w:t>派的评估师和其他</w:t>
      </w:r>
      <w:r>
        <w:rPr>
          <w:rFonts w:hint="eastAsia" w:ascii="仿宋" w:hAnsi="仿宋" w:eastAsia="仿宋"/>
          <w:sz w:val="28"/>
          <w:szCs w:val="28"/>
        </w:rPr>
        <w:t>评估专业人员及外聘专家执行评估业务提供必要的工作条件和协助，乙方在评估工作期间到现场查看时，甲方应当指派工作人员或要求相关当事人指派工作人员陪同并提供必要的方便和配合；甲方应当根据评估业务需要，负责评估机构、评估师和其他评估专业人员与相关当事人之间的协调；甲方应按乙方的要求协助配合乙方向有关国家机关或者其他组织调取、查阅、抄录、复制评估所需的文件、证明和资料。</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3、甲方应当承诺本次评估的经济行为符合国家有关规定，估价对象不存在法律、法规规定禁止按本次估价目的使用的情形；不非法干预乙方的评估工作和评估结果；评估有关重大事项(如：抵押、质押等担保情形，对外投资入股、租售等资产转让情形，司法及行政机关依法裁定、决定查封和其它限制估价对象的权利或影响其价值的情形等)已如实揭示充分。</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（二）乙方的权利和义务</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1、乙方应遵守相关法律、法规和评估准则，对估价对象在价值时点特定目的下的价值进行分析、估算并出具评估报告，对评估报告的真实性、合法性负责。</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2、乙方对甲方提交的评估资料应妥善保管，并保守因评估工作而知悉的甲方的商业秘密，非经甲方书面同意不得擅自公开或泄露给他人，评估工作完成后完整返还给甲方。</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3、乙方应</w:t>
      </w:r>
      <w:r>
        <w:rPr>
          <w:rFonts w:ascii="仿宋" w:hAnsi="仿宋" w:eastAsia="仿宋"/>
          <w:sz w:val="28"/>
          <w:szCs w:val="28"/>
        </w:rPr>
        <w:t>选派能够胜任的评估师和其他评估专业人员</w:t>
      </w:r>
      <w:r>
        <w:rPr>
          <w:rFonts w:hint="eastAsia" w:ascii="仿宋" w:hAnsi="仿宋" w:eastAsia="仿宋"/>
          <w:sz w:val="28"/>
          <w:szCs w:val="28"/>
        </w:rPr>
        <w:t>执行</w:t>
      </w:r>
      <w:r>
        <w:rPr>
          <w:rFonts w:ascii="仿宋" w:hAnsi="仿宋" w:eastAsia="仿宋"/>
          <w:sz w:val="28"/>
          <w:szCs w:val="28"/>
        </w:rPr>
        <w:t>评估业务</w:t>
      </w:r>
      <w:r>
        <w:rPr>
          <w:rFonts w:hint="eastAsia" w:ascii="仿宋" w:hAnsi="仿宋" w:eastAsia="仿宋"/>
          <w:sz w:val="28"/>
          <w:szCs w:val="28"/>
        </w:rPr>
        <w:t>，应当要求</w:t>
      </w:r>
      <w:r>
        <w:rPr>
          <w:rFonts w:ascii="仿宋" w:hAnsi="仿宋" w:eastAsia="仿宋"/>
          <w:sz w:val="28"/>
          <w:szCs w:val="28"/>
        </w:rPr>
        <w:t>评估师和其他评估专业人员</w:t>
      </w:r>
      <w:r>
        <w:rPr>
          <w:rFonts w:hint="eastAsia" w:ascii="仿宋" w:hAnsi="仿宋" w:eastAsia="仿宋"/>
          <w:sz w:val="28"/>
          <w:szCs w:val="28"/>
        </w:rPr>
        <w:t>依法独立、客观、公正从事评估业务，遵守评估准则。</w:t>
      </w:r>
    </w:p>
    <w:p>
      <w:pPr>
        <w:pStyle w:val="9"/>
        <w:adjustRightInd w:val="0"/>
        <w:snapToGrid w:val="0"/>
        <w:spacing w:before="0" w:beforeAutospacing="0" w:after="0" w:afterAutospacing="0" w:line="560" w:lineRule="exact"/>
        <w:ind w:firstLine="280" w:firstLineChars="100"/>
        <w:rPr>
          <w:rFonts w:ascii="仿宋" w:hAnsi="仿宋" w:eastAsia="仿宋"/>
          <w:sz w:val="28"/>
          <w:szCs w:val="28"/>
        </w:rPr>
      </w:pPr>
      <w:r>
        <w:rPr>
          <w:rFonts w:hint="eastAsia" w:ascii="仿宋" w:hAnsi="仿宋" w:eastAsia="仿宋"/>
          <w:sz w:val="28"/>
          <w:szCs w:val="28"/>
        </w:rPr>
        <w:t xml:space="preserve">  4、未经甲方同意，</w:t>
      </w:r>
      <w:r>
        <w:rPr>
          <w:rFonts w:ascii="仿宋" w:hAnsi="仿宋" w:eastAsia="仿宋"/>
          <w:sz w:val="28"/>
          <w:szCs w:val="28"/>
        </w:rPr>
        <w:t>乙方不</w:t>
      </w:r>
      <w:r>
        <w:rPr>
          <w:rFonts w:hint="eastAsia" w:ascii="仿宋" w:hAnsi="仿宋" w:eastAsia="仿宋"/>
          <w:sz w:val="28"/>
          <w:szCs w:val="28"/>
        </w:rPr>
        <w:t>得</w:t>
      </w:r>
      <w:r>
        <w:rPr>
          <w:rFonts w:ascii="仿宋" w:hAnsi="仿宋" w:eastAsia="仿宋"/>
          <w:sz w:val="28"/>
          <w:szCs w:val="28"/>
        </w:rPr>
        <w:t>委托他人进行评估</w:t>
      </w:r>
      <w:r>
        <w:rPr>
          <w:rFonts w:hint="eastAsia" w:ascii="仿宋" w:hAnsi="仿宋" w:eastAsia="仿宋"/>
          <w:sz w:val="28"/>
          <w:szCs w:val="28"/>
        </w:rPr>
        <w:t>。</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乙方履行本合同取得的工作成果或其他智力成果，其知识产权归甲方所有。乙方使用的素材、资料、数据等不得侵犯第三方的权利，乙方向甲方提供的成果，应保证不涉及侵害任何第三方的知识产权。乙方违反本条约定，甲方因此而涉及任何索赔及损失均由乙方承担，且乙方应向甲方支付合同总价20%的违约金</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6、若乙方需现场查勘，必须遵守现场安全规章制度，听从甲方现场工作人员的安排及指挥，并对乙方人员的安全负责，若因乙方原因导致甲方及第三人人身、财产安全进行损坏，乙方需承担全部责任。</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（三）其它约定：</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p>
    <w:p>
      <w:pPr>
        <w:spacing w:line="560" w:lineRule="exact"/>
        <w:rPr>
          <w:rFonts w:ascii="仿宋" w:hAnsi="仿宋" w:eastAsia="仿宋"/>
          <w:b/>
          <w:color w:val="FF0000"/>
          <w:sz w:val="28"/>
          <w:szCs w:val="28"/>
        </w:rPr>
      </w:pPr>
      <w:r>
        <w:rPr>
          <w:rFonts w:hint="eastAsia" w:ascii="仿宋" w:hAnsi="仿宋" w:eastAsia="仿宋"/>
          <w:b/>
          <w:sz w:val="28"/>
          <w:szCs w:val="28"/>
        </w:rPr>
        <w:t>第五条 廉洁条款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一）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监察部门举报。具体举报渠道如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举 报 电 话： 13058187453（</w:t>
      </w:r>
      <w:r>
        <w:rPr>
          <w:rFonts w:ascii="仿宋" w:hAnsi="仿宋" w:eastAsia="仿宋"/>
          <w:sz w:val="28"/>
          <w:szCs w:val="28"/>
        </w:rPr>
        <w:t>微信同号）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举 报 邮 箱： HDDC110＠evergrande.com</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受 理 部 门： 恒大地产集团监察中心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受 理 地 址： 深圳市南山区海德三道1126号卓越后海金融中心27层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（二）严禁乙方以任何方式向甲方人员提供私人便利、行贿或进行非正常商务宴请。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spacing w:line="560" w:lineRule="exact"/>
        <w:rPr>
          <w:rFonts w:ascii="仿宋" w:hAnsi="仿宋" w:eastAsia="仿宋"/>
          <w:b/>
          <w:sz w:val="28"/>
          <w:szCs w:val="28"/>
        </w:rPr>
      </w:pPr>
      <w:r>
        <w:rPr>
          <w:rFonts w:hint="eastAsia" w:ascii="仿宋" w:hAnsi="仿宋" w:eastAsia="仿宋"/>
          <w:b/>
          <w:sz w:val="28"/>
          <w:szCs w:val="28"/>
        </w:rPr>
        <w:t>第六条 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（一）签约各方因不可抗力无法履行业务约定的，根据不可抗力的影响，签约各方凭书面通知，部分或者全部免除责任，法律另有规定的除外。</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（二）乙方如无特殊原因和正当理由，不得迟于本合同规定的时间交付评估报告书，每逾期1日应支付合同总价的</w:t>
      </w:r>
      <w:r>
        <w:rPr>
          <w:rFonts w:hint="eastAsia" w:ascii="仿宋" w:hAnsi="仿宋" w:eastAsia="仿宋"/>
          <w:color w:val="auto"/>
          <w:sz w:val="28"/>
          <w:szCs w:val="28"/>
          <w:u w:val="single"/>
        </w:rPr>
        <w:t>1‰</w:t>
      </w:r>
      <w:r>
        <w:rPr>
          <w:rFonts w:hint="eastAsia" w:ascii="仿宋" w:hAnsi="仿宋" w:eastAsia="仿宋"/>
          <w:color w:val="auto"/>
          <w:sz w:val="28"/>
          <w:szCs w:val="28"/>
        </w:rPr>
        <w:t>的违约金；若逾期超过</w:t>
      </w:r>
      <w:r>
        <w:rPr>
          <w:rFonts w:hint="eastAsia" w:ascii="仿宋" w:hAnsi="仿宋" w:eastAsia="仿宋"/>
          <w:color w:val="auto"/>
          <w:sz w:val="28"/>
          <w:szCs w:val="28"/>
          <w:u w:val="single"/>
        </w:rPr>
        <w:t>30日</w:t>
      </w:r>
      <w:r>
        <w:rPr>
          <w:rFonts w:hint="eastAsia" w:ascii="仿宋" w:hAnsi="仿宋" w:eastAsia="仿宋"/>
          <w:color w:val="auto"/>
          <w:sz w:val="28"/>
          <w:szCs w:val="28"/>
        </w:rPr>
        <w:t>，甲方有权单方面解除合同，且乙方须向甲方支付合同总价</w:t>
      </w:r>
      <w:r>
        <w:rPr>
          <w:rFonts w:hint="eastAsia" w:ascii="仿宋" w:hAnsi="仿宋" w:eastAsia="仿宋"/>
          <w:color w:val="auto"/>
          <w:sz w:val="28"/>
          <w:szCs w:val="28"/>
          <w:u w:val="single"/>
        </w:rPr>
        <w:t>30%</w:t>
      </w:r>
      <w:r>
        <w:rPr>
          <w:rFonts w:hint="eastAsia" w:ascii="仿宋" w:hAnsi="仿宋" w:eastAsia="仿宋"/>
          <w:color w:val="auto"/>
          <w:sz w:val="28"/>
          <w:szCs w:val="28"/>
        </w:rPr>
        <w:t>违约金。</w:t>
      </w:r>
    </w:p>
    <w:p>
      <w:pPr>
        <w:adjustRightInd w:val="0"/>
        <w:snapToGrid w:val="0"/>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甲方若对乙方的评估结果有异议，可向第三方要求重估。重估过程中，若发现乙方有明显失误，则乙方应宣布原评估结果失效，如甲方要求乙方重新撰写评估报告书的，乙方应承担第三方评估服务费；如甲方不要求乙方重新撰写评估报告书的，乙方须退还给甲方已交评估服务费的</w:t>
      </w:r>
      <w:r>
        <w:rPr>
          <w:rFonts w:hint="eastAsia" w:ascii="仿宋" w:hAnsi="仿宋" w:eastAsia="仿宋"/>
          <w:color w:val="auto"/>
          <w:sz w:val="28"/>
          <w:szCs w:val="28"/>
          <w:u w:val="single"/>
        </w:rPr>
        <w:t>100%</w:t>
      </w:r>
      <w:r>
        <w:rPr>
          <w:rFonts w:hint="eastAsia" w:ascii="仿宋" w:hAnsi="仿宋" w:eastAsia="仿宋"/>
          <w:color w:val="auto"/>
          <w:sz w:val="28"/>
          <w:szCs w:val="28"/>
        </w:rPr>
        <w:t>，并承担第三方的评估费用。若乙方无失误，则甲方应按其合同约定向乙方支付评估服务费，同时承担第三方评估费用。</w:t>
      </w:r>
    </w:p>
    <w:p>
      <w:pPr>
        <w:pStyle w:val="9"/>
        <w:adjustRightInd w:val="0"/>
        <w:snapToGrid w:val="0"/>
        <w:spacing w:before="0" w:beforeAutospacing="0" w:after="0" w:afterAutospacing="0" w:line="560" w:lineRule="exact"/>
        <w:ind w:firstLine="560" w:firstLineChars="200"/>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（四）若乙方评估工作人员未按甲方要求进行评估，甲方可指令更换评估工作人员，若重新更换后仍不符合甲方要求的，甲方可单方面解除合同，不再向乙方支付任何合同款项，</w:t>
      </w:r>
      <w:r>
        <w:rPr>
          <w:rFonts w:hint="eastAsia" w:ascii="仿宋" w:hAnsi="仿宋" w:eastAsia="仿宋"/>
          <w:color w:val="auto"/>
          <w:sz w:val="28"/>
          <w:szCs w:val="28"/>
        </w:rPr>
        <w:t>且乙方须向甲方支付合同总价</w:t>
      </w:r>
      <w:r>
        <w:rPr>
          <w:rFonts w:hint="eastAsia" w:ascii="仿宋" w:hAnsi="仿宋" w:eastAsia="仿宋"/>
          <w:color w:val="auto"/>
          <w:sz w:val="28"/>
          <w:szCs w:val="28"/>
          <w:u w:val="single"/>
        </w:rPr>
        <w:t>30%</w:t>
      </w:r>
      <w:r>
        <w:rPr>
          <w:rFonts w:hint="eastAsia" w:ascii="仿宋" w:hAnsi="仿宋" w:eastAsia="仿宋"/>
          <w:color w:val="auto"/>
          <w:sz w:val="28"/>
          <w:szCs w:val="28"/>
        </w:rPr>
        <w:t>违约金。</w:t>
      </w:r>
    </w:p>
    <w:p>
      <w:pPr>
        <w:adjustRightInd w:val="0"/>
        <w:snapToGrid w:val="0"/>
        <w:spacing w:line="560" w:lineRule="exact"/>
        <w:ind w:left="425"/>
        <w:rPr>
          <w:rFonts w:ascii="仿宋" w:hAnsi="仿宋" w:eastAsia="仿宋"/>
          <w:b/>
          <w:color w:val="auto"/>
          <w:sz w:val="28"/>
          <w:szCs w:val="28"/>
        </w:rPr>
      </w:pPr>
      <w:r>
        <w:rPr>
          <w:rFonts w:hint="eastAsia" w:ascii="仿宋" w:hAnsi="仿宋" w:eastAsia="仿宋"/>
          <w:b/>
          <w:color w:val="auto"/>
          <w:sz w:val="28"/>
          <w:szCs w:val="28"/>
        </w:rPr>
        <w:t>第七条 其他约定</w:t>
      </w:r>
    </w:p>
    <w:p>
      <w:pPr>
        <w:adjustRightInd w:val="0"/>
        <w:snapToGrid w:val="0"/>
        <w:spacing w:line="560" w:lineRule="exact"/>
        <w:ind w:firstLine="495" w:firstLineChars="177"/>
        <w:rPr>
          <w:rFonts w:ascii="仿宋" w:hAnsi="仿宋" w:eastAsia="仿宋"/>
          <w:sz w:val="28"/>
          <w:szCs w:val="28"/>
        </w:rPr>
      </w:pPr>
      <w:r>
        <w:rPr>
          <w:rFonts w:hint="eastAsia" w:ascii="仿宋" w:hAnsi="仿宋" w:eastAsia="仿宋"/>
          <w:sz w:val="28"/>
          <w:szCs w:val="28"/>
        </w:rPr>
        <w:t>（一）、乙方联系人及电话为：</w:t>
      </w:r>
      <w:r>
        <w:rPr>
          <w:rFonts w:hint="eastAsia" w:ascii="仿宋" w:hAnsi="仿宋" w:eastAsia="仿宋"/>
          <w:sz w:val="28"/>
          <w:szCs w:val="28"/>
          <w:u w:val="single"/>
        </w:rPr>
        <w:t xml:space="preserve">  邢轲  82253558 </w:t>
      </w:r>
      <w:r>
        <w:rPr>
          <w:rFonts w:hint="eastAsia" w:ascii="仿宋" w:hAnsi="仿宋" w:eastAsia="仿宋"/>
          <w:sz w:val="28"/>
          <w:szCs w:val="28"/>
        </w:rPr>
        <w:t>，通讯地址为：</w:t>
      </w:r>
      <w:r>
        <w:rPr>
          <w:rFonts w:hint="eastAsia" w:ascii="仿宋" w:hAnsi="仿宋" w:eastAsia="仿宋"/>
          <w:sz w:val="28"/>
          <w:szCs w:val="28"/>
          <w:u w:val="single"/>
        </w:rPr>
        <w:t xml:space="preserve"> 北京市朝阳区裕民路12号中国国际科技会展中心B座1001    </w:t>
      </w:r>
      <w:r>
        <w:rPr>
          <w:rFonts w:hint="eastAsia" w:ascii="仿宋" w:hAnsi="仿宋" w:eastAsia="仿宋"/>
          <w:sz w:val="28"/>
          <w:szCs w:val="28"/>
        </w:rPr>
        <w:t xml:space="preserve"> ，邮政编码为：</w:t>
      </w:r>
      <w:r>
        <w:rPr>
          <w:rFonts w:hint="eastAsia" w:ascii="仿宋" w:hAnsi="仿宋" w:eastAsia="仿宋"/>
          <w:sz w:val="28"/>
          <w:szCs w:val="28"/>
          <w:u w:val="single"/>
        </w:rPr>
        <w:t xml:space="preserve">  100029    </w:t>
      </w:r>
      <w:r>
        <w:rPr>
          <w:rFonts w:hint="eastAsia" w:ascii="仿宋" w:hAnsi="仿宋" w:eastAsia="仿宋"/>
          <w:sz w:val="28"/>
          <w:szCs w:val="28"/>
        </w:rPr>
        <w:t>，电子邮件地址为：</w:t>
      </w:r>
      <w:r>
        <w:rPr>
          <w:rFonts w:hint="eastAsia" w:ascii="仿宋" w:hAnsi="仿宋" w:eastAsia="仿宋"/>
          <w:sz w:val="28"/>
          <w:szCs w:val="28"/>
          <w:u w:val="single"/>
        </w:rPr>
        <w:t xml:space="preserve">  /      </w:t>
      </w:r>
      <w:r>
        <w:rPr>
          <w:rFonts w:hint="eastAsia" w:ascii="仿宋" w:hAnsi="仿宋" w:eastAsia="仿宋"/>
          <w:sz w:val="28"/>
          <w:szCs w:val="28"/>
        </w:rPr>
        <w:t>，乙方提供的本通讯地址为接收甲方相关函件、法院诉讼文书的有效送达地址。甲方依本地址向乙方发送有关信函文件，若因乙方拒收或所留地址有误或变更地址、或联系人方式有误未通知甲方的，责任由乙方承担，甲方向乙方所发送的信函文件等视为已送达乙方。</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（二）若因不可归责于甲乙双方的原因导致评估业务中止、解除委托合同时，评估费用按照乙方已完工程量据实结算。</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三）1、未经甲方书面同意，乙方不得擅自使用“恒大”、“恒大地产”“金碧”字样以及恒大及其关联公司、产业的名称、商标、商号、标识、标志对其公司的项目、产品进行宣传。且乙方不得有诋毁甲方的品牌形象、声誉等行为。</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未经甲方书面同意，乙方不得将签订、履行本协议所知晓的与甲方或本项目相关的信息、资料以及与甲方合作事宜向本协议以外的任何第三方（包括但不限于乙方合作单位、媒体等）披露、泄露。不得将双方之间的合作事宜、合作关系用于其对外宣传和广告用途</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3、上述1、2条及本条的约定在本协议期满、解除或终止后仍然有效。如乙方违反上述约定，乙方需向甲方支付合同总价</w:t>
      </w:r>
      <w:r>
        <w:rPr>
          <w:rFonts w:hint="eastAsia" w:ascii="仿宋" w:hAnsi="仿宋" w:eastAsia="仿宋"/>
          <w:sz w:val="28"/>
          <w:szCs w:val="28"/>
          <w:u w:val="single"/>
        </w:rPr>
        <w:t>10</w:t>
      </w:r>
      <w:r>
        <w:rPr>
          <w:rFonts w:hint="eastAsia" w:ascii="仿宋" w:hAnsi="仿宋" w:eastAsia="仿宋"/>
          <w:sz w:val="28"/>
          <w:szCs w:val="28"/>
        </w:rPr>
        <w:t>%的违约金；如导致甲方品牌形象受损的，乙方需向甲方支付合同总价</w:t>
      </w:r>
      <w:r>
        <w:rPr>
          <w:rFonts w:hint="eastAsia" w:ascii="仿宋" w:hAnsi="仿宋" w:eastAsia="仿宋"/>
          <w:sz w:val="28"/>
          <w:szCs w:val="28"/>
          <w:u w:val="single"/>
        </w:rPr>
        <w:t xml:space="preserve"> 30 </w:t>
      </w:r>
      <w:r>
        <w:rPr>
          <w:rFonts w:hint="eastAsia" w:ascii="仿宋" w:hAnsi="仿宋" w:eastAsia="仿宋"/>
          <w:sz w:val="28"/>
          <w:szCs w:val="28"/>
        </w:rPr>
        <w:t>%的违约金，该违约金不足以弥补甲方损失的，乙方应当赔偿甲方的全部损失。</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cs="Times New Roman"/>
          <w:kern w:val="2"/>
          <w:sz w:val="28"/>
          <w:szCs w:val="28"/>
        </w:rPr>
        <w:t>（四）因本合同或与本合同有关的一切争议，双方均友好协商解决；如果不能解决，任何一方均有权向本合同签订地有管辖权的人民法院提起诉讼。</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（五）本合同自甲、乙双方的法定代表人或者授权代表签字并盖章后生效。</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（六）本合同一式</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叁</w:t>
      </w:r>
      <w:r>
        <w:rPr>
          <w:rFonts w:hint="eastAsia" w:ascii="仿宋" w:hAnsi="仿宋" w:eastAsia="仿宋"/>
          <w:sz w:val="28"/>
          <w:szCs w:val="28"/>
          <w:u w:val="single"/>
        </w:rPr>
        <w:t xml:space="preserve"> </w:t>
      </w:r>
      <w:r>
        <w:rPr>
          <w:rFonts w:hint="eastAsia" w:ascii="仿宋" w:hAnsi="仿宋" w:eastAsia="仿宋"/>
          <w:sz w:val="28"/>
          <w:szCs w:val="28"/>
        </w:rPr>
        <w:t>份</w:t>
      </w:r>
      <w:r>
        <w:rPr>
          <w:rFonts w:ascii="仿宋" w:hAnsi="仿宋" w:eastAsia="仿宋"/>
          <w:sz w:val="28"/>
          <w:szCs w:val="28"/>
        </w:rPr>
        <w:t>，</w:t>
      </w:r>
      <w:r>
        <w:rPr>
          <w:rFonts w:hint="eastAsia" w:ascii="仿宋" w:hAnsi="仿宋" w:eastAsia="仿宋"/>
          <w:sz w:val="28"/>
          <w:szCs w:val="28"/>
        </w:rPr>
        <w:t>均</w:t>
      </w:r>
      <w:r>
        <w:rPr>
          <w:rFonts w:ascii="仿宋" w:hAnsi="仿宋" w:eastAsia="仿宋"/>
          <w:sz w:val="28"/>
          <w:szCs w:val="28"/>
        </w:rPr>
        <w:t>具有同等</w:t>
      </w:r>
      <w:r>
        <w:rPr>
          <w:rFonts w:hint="eastAsia" w:ascii="仿宋" w:hAnsi="仿宋" w:eastAsia="仿宋"/>
          <w:sz w:val="28"/>
          <w:szCs w:val="28"/>
        </w:rPr>
        <w:t>法律</w:t>
      </w:r>
      <w:r>
        <w:rPr>
          <w:rFonts w:ascii="仿宋" w:hAnsi="仿宋" w:eastAsia="仿宋"/>
          <w:sz w:val="28"/>
          <w:szCs w:val="28"/>
        </w:rPr>
        <w:t>效力</w:t>
      </w:r>
      <w:r>
        <w:rPr>
          <w:rFonts w:hint="eastAsia" w:ascii="仿宋" w:hAnsi="仿宋" w:eastAsia="仿宋"/>
          <w:sz w:val="28"/>
          <w:szCs w:val="28"/>
        </w:rPr>
        <w:t>，甲、乙双方各执</w:t>
      </w:r>
      <w:r>
        <w:rPr>
          <w:rFonts w:hint="eastAsia" w:ascii="仿宋" w:hAnsi="仿宋" w:eastAsia="仿宋"/>
          <w:sz w:val="28"/>
          <w:szCs w:val="28"/>
          <w:u w:val="single"/>
        </w:rPr>
        <w:t xml:space="preserve"> 壹 </w:t>
      </w:r>
      <w:r>
        <w:rPr>
          <w:rFonts w:hint="eastAsia" w:ascii="仿宋" w:hAnsi="仿宋" w:eastAsia="仿宋"/>
          <w:sz w:val="28"/>
          <w:szCs w:val="28"/>
        </w:rPr>
        <w:t>份。</w:t>
      </w:r>
      <w:r>
        <w:rPr>
          <w:rFonts w:ascii="仿宋" w:hAnsi="仿宋" w:eastAsia="仿宋"/>
          <w:sz w:val="28"/>
          <w:szCs w:val="28"/>
        </w:rPr>
        <w:br w:type="textWrapping"/>
      </w:r>
      <w:r>
        <w:rPr>
          <w:rFonts w:hint="eastAsia" w:ascii="仿宋" w:hAnsi="仿宋" w:eastAsia="仿宋"/>
          <w:sz w:val="28"/>
          <w:szCs w:val="28"/>
        </w:rPr>
        <w:t xml:space="preserve">    （七）其它约定：</w:t>
      </w:r>
      <w:r>
        <w:rPr>
          <w:rFonts w:hint="eastAsia" w:ascii="仿宋" w:hAnsi="仿宋" w:eastAsia="仿宋"/>
          <w:sz w:val="28"/>
          <w:szCs w:val="28"/>
          <w:u w:val="single"/>
        </w:rPr>
        <w:t xml:space="preserve">           /            。</w:t>
      </w:r>
    </w:p>
    <w:p>
      <w:pPr>
        <w:pStyle w:val="9"/>
        <w:adjustRightInd w:val="0"/>
        <w:snapToGrid w:val="0"/>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cs="Times New Roman"/>
          <w:b/>
          <w:kern w:val="2"/>
          <w:sz w:val="28"/>
          <w:szCs w:val="28"/>
        </w:rPr>
        <w:t>第八条 签约地点和签约时间</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本合同于二〇</w:t>
      </w:r>
      <w:r>
        <w:rPr>
          <w:rFonts w:hint="eastAsia" w:ascii="仿宋" w:hAnsi="仿宋" w:eastAsia="仿宋"/>
          <w:sz w:val="28"/>
          <w:szCs w:val="28"/>
          <w:u w:val="single"/>
        </w:rPr>
        <w:t xml:space="preserve">  一九  </w:t>
      </w:r>
      <w:r>
        <w:rPr>
          <w:rFonts w:hint="eastAsia" w:ascii="仿宋" w:hAnsi="仿宋" w:eastAsia="仿宋"/>
          <w:sz w:val="28"/>
          <w:szCs w:val="28"/>
        </w:rPr>
        <w:t>年</w:t>
      </w:r>
      <w:r>
        <w:rPr>
          <w:rFonts w:hint="eastAsia" w:ascii="仿宋" w:hAnsi="仿宋" w:eastAsia="仿宋"/>
          <w:sz w:val="28"/>
          <w:szCs w:val="28"/>
          <w:u w:val="single"/>
        </w:rPr>
        <w:t xml:space="preserve">  七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三十</w:t>
      </w:r>
      <w:r>
        <w:rPr>
          <w:rFonts w:hint="eastAsia" w:ascii="仿宋" w:hAnsi="仿宋" w:eastAsia="仿宋"/>
          <w:sz w:val="28"/>
          <w:szCs w:val="28"/>
          <w:u w:val="single"/>
        </w:rPr>
        <w:t xml:space="preserve">  </w:t>
      </w:r>
      <w:r>
        <w:rPr>
          <w:rFonts w:hint="eastAsia" w:ascii="仿宋" w:hAnsi="仿宋" w:eastAsia="仿宋"/>
          <w:sz w:val="28"/>
          <w:szCs w:val="28"/>
        </w:rPr>
        <w:t xml:space="preserve">日在 </w:t>
      </w:r>
      <w:r>
        <w:rPr>
          <w:rFonts w:hint="eastAsia" w:ascii="仿宋" w:hAnsi="仿宋" w:eastAsia="仿宋"/>
          <w:sz w:val="28"/>
          <w:szCs w:val="28"/>
          <w:u w:val="single"/>
        </w:rPr>
        <w:t xml:space="preserve">  成都青羊区提督街99号恒大中心   </w:t>
      </w:r>
      <w:r>
        <w:rPr>
          <w:rFonts w:hint="eastAsia" w:ascii="仿宋" w:hAnsi="仿宋" w:eastAsia="仿宋"/>
          <w:sz w:val="28"/>
          <w:szCs w:val="28"/>
        </w:rPr>
        <w:t>签订。</w:t>
      </w:r>
    </w:p>
    <w:p>
      <w:pPr>
        <w:adjustRightInd w:val="0"/>
        <w:snapToGrid w:val="0"/>
        <w:spacing w:line="560" w:lineRule="exact"/>
        <w:ind w:firstLine="560" w:firstLineChars="200"/>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r>
        <w:rPr>
          <w:rFonts w:hint="eastAsia" w:ascii="仿宋" w:hAnsi="仿宋" w:eastAsia="仿宋"/>
          <w:sz w:val="28"/>
          <w:szCs w:val="28"/>
        </w:rPr>
        <w:t xml:space="preserve">甲方(盖章)： </w:t>
      </w:r>
    </w:p>
    <w:p>
      <w:pPr>
        <w:adjustRightInd w:val="0"/>
        <w:snapToGrid w:val="0"/>
        <w:spacing w:line="560" w:lineRule="exact"/>
        <w:rPr>
          <w:rFonts w:ascii="仿宋" w:hAnsi="仿宋" w:eastAsia="仿宋"/>
          <w:sz w:val="28"/>
          <w:szCs w:val="28"/>
        </w:rPr>
      </w:pPr>
      <w:r>
        <w:rPr>
          <w:rFonts w:hint="eastAsia" w:ascii="仿宋" w:hAnsi="仿宋" w:eastAsia="仿宋"/>
          <w:sz w:val="28"/>
          <w:szCs w:val="28"/>
        </w:rPr>
        <w:t xml:space="preserve">法定代表人或授权代表(签章)：                  </w:t>
      </w: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p>
    <w:p>
      <w:pPr>
        <w:adjustRightInd w:val="0"/>
        <w:snapToGrid w:val="0"/>
        <w:spacing w:line="560" w:lineRule="exact"/>
        <w:rPr>
          <w:rFonts w:ascii="仿宋" w:hAnsi="仿宋" w:eastAsia="仿宋"/>
          <w:sz w:val="28"/>
          <w:szCs w:val="28"/>
        </w:rPr>
      </w:pPr>
      <w:r>
        <w:rPr>
          <w:rFonts w:hint="eastAsia" w:ascii="仿宋" w:hAnsi="仿宋" w:eastAsia="仿宋"/>
          <w:sz w:val="28"/>
          <w:szCs w:val="28"/>
        </w:rPr>
        <w:t>乙方(盖章)：</w:t>
      </w:r>
    </w:p>
    <w:p>
      <w:pPr>
        <w:adjustRightInd w:val="0"/>
        <w:snapToGrid w:val="0"/>
        <w:spacing w:line="560" w:lineRule="exact"/>
        <w:rPr>
          <w:rFonts w:ascii="仿宋" w:hAnsi="仿宋" w:eastAsia="仿宋"/>
          <w:sz w:val="28"/>
          <w:szCs w:val="28"/>
        </w:rPr>
      </w:pPr>
      <w:r>
        <w:rPr>
          <w:rFonts w:hint="eastAsia" w:ascii="仿宋" w:hAnsi="仿宋" w:eastAsia="仿宋"/>
          <w:sz w:val="28"/>
          <w:szCs w:val="28"/>
        </w:rPr>
        <w:t xml:space="preserve">法定代表人或授权代表(签章)：                       </w:t>
      </w:r>
    </w:p>
    <w:sectPr>
      <w:headerReference r:id="rId3" w:type="default"/>
      <w:footerReference r:id="rId4" w:type="default"/>
      <w:footerReference r:id="rId5" w:type="even"/>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AF"/>
    <w:rsid w:val="00010B48"/>
    <w:rsid w:val="00012054"/>
    <w:rsid w:val="00013790"/>
    <w:rsid w:val="00021698"/>
    <w:rsid w:val="00025F9D"/>
    <w:rsid w:val="00033053"/>
    <w:rsid w:val="00040C31"/>
    <w:rsid w:val="00051525"/>
    <w:rsid w:val="00060127"/>
    <w:rsid w:val="00084A53"/>
    <w:rsid w:val="0008587D"/>
    <w:rsid w:val="000A2298"/>
    <w:rsid w:val="000B074B"/>
    <w:rsid w:val="000D4203"/>
    <w:rsid w:val="000D56C1"/>
    <w:rsid w:val="000D7B23"/>
    <w:rsid w:val="000E17E8"/>
    <w:rsid w:val="000E7805"/>
    <w:rsid w:val="000F0478"/>
    <w:rsid w:val="000F357F"/>
    <w:rsid w:val="001075D8"/>
    <w:rsid w:val="0011221B"/>
    <w:rsid w:val="00112C12"/>
    <w:rsid w:val="0014081B"/>
    <w:rsid w:val="00141893"/>
    <w:rsid w:val="00154195"/>
    <w:rsid w:val="001642FA"/>
    <w:rsid w:val="00167622"/>
    <w:rsid w:val="00170410"/>
    <w:rsid w:val="001809FE"/>
    <w:rsid w:val="001C3CBD"/>
    <w:rsid w:val="001C4435"/>
    <w:rsid w:val="001C5C0F"/>
    <w:rsid w:val="001D323A"/>
    <w:rsid w:val="001D326F"/>
    <w:rsid w:val="001D3FF2"/>
    <w:rsid w:val="001E0F0D"/>
    <w:rsid w:val="001E43F2"/>
    <w:rsid w:val="001E73CF"/>
    <w:rsid w:val="001F0519"/>
    <w:rsid w:val="001F13AF"/>
    <w:rsid w:val="001F38D3"/>
    <w:rsid w:val="001F5B89"/>
    <w:rsid w:val="0020021F"/>
    <w:rsid w:val="002008F8"/>
    <w:rsid w:val="0020561B"/>
    <w:rsid w:val="002108B8"/>
    <w:rsid w:val="00211BFC"/>
    <w:rsid w:val="00214F9B"/>
    <w:rsid w:val="002266C7"/>
    <w:rsid w:val="00227458"/>
    <w:rsid w:val="00232A1A"/>
    <w:rsid w:val="00234032"/>
    <w:rsid w:val="002460A8"/>
    <w:rsid w:val="00247A0B"/>
    <w:rsid w:val="002500AC"/>
    <w:rsid w:val="00250A0F"/>
    <w:rsid w:val="00263776"/>
    <w:rsid w:val="00272F3B"/>
    <w:rsid w:val="00273D45"/>
    <w:rsid w:val="0027530B"/>
    <w:rsid w:val="00275D1C"/>
    <w:rsid w:val="002A2D27"/>
    <w:rsid w:val="002A5AAE"/>
    <w:rsid w:val="002B67AF"/>
    <w:rsid w:val="002C4212"/>
    <w:rsid w:val="002C65DB"/>
    <w:rsid w:val="002D1170"/>
    <w:rsid w:val="002D6932"/>
    <w:rsid w:val="002E3915"/>
    <w:rsid w:val="002E4975"/>
    <w:rsid w:val="00312867"/>
    <w:rsid w:val="003228FC"/>
    <w:rsid w:val="00331F28"/>
    <w:rsid w:val="003714A3"/>
    <w:rsid w:val="00374B4D"/>
    <w:rsid w:val="00376533"/>
    <w:rsid w:val="00380CE0"/>
    <w:rsid w:val="0039082D"/>
    <w:rsid w:val="0039562B"/>
    <w:rsid w:val="003A6631"/>
    <w:rsid w:val="003A7BFD"/>
    <w:rsid w:val="003B0BBF"/>
    <w:rsid w:val="003B3C4F"/>
    <w:rsid w:val="003B4D50"/>
    <w:rsid w:val="003D0440"/>
    <w:rsid w:val="003D14FF"/>
    <w:rsid w:val="003E15C3"/>
    <w:rsid w:val="003E293B"/>
    <w:rsid w:val="003E473C"/>
    <w:rsid w:val="003E494D"/>
    <w:rsid w:val="00405780"/>
    <w:rsid w:val="004148E5"/>
    <w:rsid w:val="004171A2"/>
    <w:rsid w:val="0043082C"/>
    <w:rsid w:val="004533C5"/>
    <w:rsid w:val="0045602F"/>
    <w:rsid w:val="00460EC4"/>
    <w:rsid w:val="00464934"/>
    <w:rsid w:val="00467DEE"/>
    <w:rsid w:val="004711B3"/>
    <w:rsid w:val="0047152E"/>
    <w:rsid w:val="00474D66"/>
    <w:rsid w:val="0047526C"/>
    <w:rsid w:val="00476BDC"/>
    <w:rsid w:val="00476CB7"/>
    <w:rsid w:val="00486547"/>
    <w:rsid w:val="0049777A"/>
    <w:rsid w:val="004A4704"/>
    <w:rsid w:val="004B27EA"/>
    <w:rsid w:val="004C7ABB"/>
    <w:rsid w:val="004D1271"/>
    <w:rsid w:val="004E2A91"/>
    <w:rsid w:val="004F5682"/>
    <w:rsid w:val="00501169"/>
    <w:rsid w:val="00512157"/>
    <w:rsid w:val="00520FEA"/>
    <w:rsid w:val="005241B6"/>
    <w:rsid w:val="005254F3"/>
    <w:rsid w:val="00537EE4"/>
    <w:rsid w:val="00543BD6"/>
    <w:rsid w:val="005478BF"/>
    <w:rsid w:val="00562346"/>
    <w:rsid w:val="00563976"/>
    <w:rsid w:val="00573A34"/>
    <w:rsid w:val="00580E2E"/>
    <w:rsid w:val="005823E6"/>
    <w:rsid w:val="005840BA"/>
    <w:rsid w:val="0058603C"/>
    <w:rsid w:val="0059106A"/>
    <w:rsid w:val="005A65B7"/>
    <w:rsid w:val="005A7C29"/>
    <w:rsid w:val="005B005A"/>
    <w:rsid w:val="005B0969"/>
    <w:rsid w:val="005B1E45"/>
    <w:rsid w:val="005C1689"/>
    <w:rsid w:val="005D1759"/>
    <w:rsid w:val="005D5AA7"/>
    <w:rsid w:val="005E51C7"/>
    <w:rsid w:val="005F373C"/>
    <w:rsid w:val="005F436E"/>
    <w:rsid w:val="005F4798"/>
    <w:rsid w:val="00604801"/>
    <w:rsid w:val="006106E1"/>
    <w:rsid w:val="006164B1"/>
    <w:rsid w:val="00617C7F"/>
    <w:rsid w:val="00621111"/>
    <w:rsid w:val="00631F80"/>
    <w:rsid w:val="006379CE"/>
    <w:rsid w:val="0064379F"/>
    <w:rsid w:val="0064783A"/>
    <w:rsid w:val="00654A6D"/>
    <w:rsid w:val="0066212F"/>
    <w:rsid w:val="006666FC"/>
    <w:rsid w:val="006673A4"/>
    <w:rsid w:val="00673F39"/>
    <w:rsid w:val="00675453"/>
    <w:rsid w:val="0069368E"/>
    <w:rsid w:val="006A3367"/>
    <w:rsid w:val="006A7E5B"/>
    <w:rsid w:val="006C2201"/>
    <w:rsid w:val="006C2A8E"/>
    <w:rsid w:val="006C413D"/>
    <w:rsid w:val="006C428D"/>
    <w:rsid w:val="006C6759"/>
    <w:rsid w:val="006D5E92"/>
    <w:rsid w:val="006D6F21"/>
    <w:rsid w:val="006F0E8B"/>
    <w:rsid w:val="006F153A"/>
    <w:rsid w:val="0070673C"/>
    <w:rsid w:val="007075AF"/>
    <w:rsid w:val="00707662"/>
    <w:rsid w:val="00720EE7"/>
    <w:rsid w:val="007454B4"/>
    <w:rsid w:val="00747C56"/>
    <w:rsid w:val="007520BE"/>
    <w:rsid w:val="00754BF4"/>
    <w:rsid w:val="00763FD9"/>
    <w:rsid w:val="00773477"/>
    <w:rsid w:val="0077795D"/>
    <w:rsid w:val="00780566"/>
    <w:rsid w:val="007919A4"/>
    <w:rsid w:val="00793B3F"/>
    <w:rsid w:val="007A17C0"/>
    <w:rsid w:val="007A6A76"/>
    <w:rsid w:val="007B4280"/>
    <w:rsid w:val="007B7961"/>
    <w:rsid w:val="007D2D56"/>
    <w:rsid w:val="007E1415"/>
    <w:rsid w:val="007E46AE"/>
    <w:rsid w:val="007E7D2A"/>
    <w:rsid w:val="007F0395"/>
    <w:rsid w:val="007F5E58"/>
    <w:rsid w:val="00800884"/>
    <w:rsid w:val="00801B59"/>
    <w:rsid w:val="00804CFC"/>
    <w:rsid w:val="00816506"/>
    <w:rsid w:val="00817B4D"/>
    <w:rsid w:val="008250C2"/>
    <w:rsid w:val="00831F52"/>
    <w:rsid w:val="00841536"/>
    <w:rsid w:val="008453E0"/>
    <w:rsid w:val="00846A9A"/>
    <w:rsid w:val="008502E8"/>
    <w:rsid w:val="0085300A"/>
    <w:rsid w:val="00860D7A"/>
    <w:rsid w:val="008811C6"/>
    <w:rsid w:val="008849A8"/>
    <w:rsid w:val="008859F4"/>
    <w:rsid w:val="008919AF"/>
    <w:rsid w:val="008948DD"/>
    <w:rsid w:val="008966B5"/>
    <w:rsid w:val="008B7294"/>
    <w:rsid w:val="008B79D8"/>
    <w:rsid w:val="008C4C5A"/>
    <w:rsid w:val="008C58F7"/>
    <w:rsid w:val="008D2DDD"/>
    <w:rsid w:val="008E0C65"/>
    <w:rsid w:val="008E7233"/>
    <w:rsid w:val="008F097A"/>
    <w:rsid w:val="008F3017"/>
    <w:rsid w:val="00901764"/>
    <w:rsid w:val="00903598"/>
    <w:rsid w:val="009067C9"/>
    <w:rsid w:val="0091062A"/>
    <w:rsid w:val="00912FD0"/>
    <w:rsid w:val="00913D0A"/>
    <w:rsid w:val="00917D2C"/>
    <w:rsid w:val="009215B3"/>
    <w:rsid w:val="009216B0"/>
    <w:rsid w:val="00923313"/>
    <w:rsid w:val="00924060"/>
    <w:rsid w:val="0092470A"/>
    <w:rsid w:val="009257A5"/>
    <w:rsid w:val="00931E4B"/>
    <w:rsid w:val="0093607B"/>
    <w:rsid w:val="00980A69"/>
    <w:rsid w:val="0099269D"/>
    <w:rsid w:val="0099315E"/>
    <w:rsid w:val="00994226"/>
    <w:rsid w:val="009A401C"/>
    <w:rsid w:val="009A4A07"/>
    <w:rsid w:val="009B2652"/>
    <w:rsid w:val="009B4361"/>
    <w:rsid w:val="009C12B2"/>
    <w:rsid w:val="009C1CBE"/>
    <w:rsid w:val="009D56D7"/>
    <w:rsid w:val="009E0AD5"/>
    <w:rsid w:val="009E7AB0"/>
    <w:rsid w:val="009F684C"/>
    <w:rsid w:val="00A0157C"/>
    <w:rsid w:val="00A02CE2"/>
    <w:rsid w:val="00A053DB"/>
    <w:rsid w:val="00A060A1"/>
    <w:rsid w:val="00A14F26"/>
    <w:rsid w:val="00A21671"/>
    <w:rsid w:val="00A21E50"/>
    <w:rsid w:val="00A30DE1"/>
    <w:rsid w:val="00A34CF1"/>
    <w:rsid w:val="00A36971"/>
    <w:rsid w:val="00A63D1B"/>
    <w:rsid w:val="00A65010"/>
    <w:rsid w:val="00A7294F"/>
    <w:rsid w:val="00A873BD"/>
    <w:rsid w:val="00A87BD5"/>
    <w:rsid w:val="00A91CEF"/>
    <w:rsid w:val="00AA26EF"/>
    <w:rsid w:val="00AB09FE"/>
    <w:rsid w:val="00AB40C3"/>
    <w:rsid w:val="00AB694B"/>
    <w:rsid w:val="00AC70F4"/>
    <w:rsid w:val="00AD387B"/>
    <w:rsid w:val="00AE2AD3"/>
    <w:rsid w:val="00AE63CE"/>
    <w:rsid w:val="00B03C22"/>
    <w:rsid w:val="00B10B19"/>
    <w:rsid w:val="00B15162"/>
    <w:rsid w:val="00B20A51"/>
    <w:rsid w:val="00B2293A"/>
    <w:rsid w:val="00B302DF"/>
    <w:rsid w:val="00B313F2"/>
    <w:rsid w:val="00B43F3A"/>
    <w:rsid w:val="00B543B7"/>
    <w:rsid w:val="00B57D51"/>
    <w:rsid w:val="00B61094"/>
    <w:rsid w:val="00B622DF"/>
    <w:rsid w:val="00B63CB0"/>
    <w:rsid w:val="00B74C16"/>
    <w:rsid w:val="00B77E48"/>
    <w:rsid w:val="00B803A0"/>
    <w:rsid w:val="00B806E1"/>
    <w:rsid w:val="00BA10AD"/>
    <w:rsid w:val="00BA1E10"/>
    <w:rsid w:val="00BA673C"/>
    <w:rsid w:val="00BB48FA"/>
    <w:rsid w:val="00BB6525"/>
    <w:rsid w:val="00BC0BA4"/>
    <w:rsid w:val="00BD4B99"/>
    <w:rsid w:val="00BE4C44"/>
    <w:rsid w:val="00BF7834"/>
    <w:rsid w:val="00C11684"/>
    <w:rsid w:val="00C130E4"/>
    <w:rsid w:val="00C1372F"/>
    <w:rsid w:val="00C14D86"/>
    <w:rsid w:val="00C22499"/>
    <w:rsid w:val="00C27457"/>
    <w:rsid w:val="00C27EA7"/>
    <w:rsid w:val="00C42ACD"/>
    <w:rsid w:val="00C43CFC"/>
    <w:rsid w:val="00C477AD"/>
    <w:rsid w:val="00C614D7"/>
    <w:rsid w:val="00C65183"/>
    <w:rsid w:val="00C657B0"/>
    <w:rsid w:val="00C72039"/>
    <w:rsid w:val="00C74E40"/>
    <w:rsid w:val="00C75968"/>
    <w:rsid w:val="00C7710C"/>
    <w:rsid w:val="00C80740"/>
    <w:rsid w:val="00C82E74"/>
    <w:rsid w:val="00C97070"/>
    <w:rsid w:val="00CB2795"/>
    <w:rsid w:val="00CE0493"/>
    <w:rsid w:val="00CF6DDB"/>
    <w:rsid w:val="00D07312"/>
    <w:rsid w:val="00D10315"/>
    <w:rsid w:val="00D120F9"/>
    <w:rsid w:val="00D1689A"/>
    <w:rsid w:val="00D25C19"/>
    <w:rsid w:val="00D32D02"/>
    <w:rsid w:val="00D34010"/>
    <w:rsid w:val="00D3518D"/>
    <w:rsid w:val="00D45874"/>
    <w:rsid w:val="00D629C5"/>
    <w:rsid w:val="00D66055"/>
    <w:rsid w:val="00D70A7B"/>
    <w:rsid w:val="00D76F20"/>
    <w:rsid w:val="00D77FA0"/>
    <w:rsid w:val="00D827EC"/>
    <w:rsid w:val="00D97EA4"/>
    <w:rsid w:val="00DA6B45"/>
    <w:rsid w:val="00DB0966"/>
    <w:rsid w:val="00DC220F"/>
    <w:rsid w:val="00DC243F"/>
    <w:rsid w:val="00DC2F43"/>
    <w:rsid w:val="00DD1DEC"/>
    <w:rsid w:val="00DD3759"/>
    <w:rsid w:val="00DE0B44"/>
    <w:rsid w:val="00DE10AB"/>
    <w:rsid w:val="00DE3F2E"/>
    <w:rsid w:val="00DE4441"/>
    <w:rsid w:val="00DF17DB"/>
    <w:rsid w:val="00DF2D03"/>
    <w:rsid w:val="00E04464"/>
    <w:rsid w:val="00E22167"/>
    <w:rsid w:val="00E30CE2"/>
    <w:rsid w:val="00E37572"/>
    <w:rsid w:val="00E51506"/>
    <w:rsid w:val="00E63269"/>
    <w:rsid w:val="00E7775A"/>
    <w:rsid w:val="00E822B0"/>
    <w:rsid w:val="00E83A1D"/>
    <w:rsid w:val="00E849C3"/>
    <w:rsid w:val="00E91506"/>
    <w:rsid w:val="00E91BF5"/>
    <w:rsid w:val="00EA1FD9"/>
    <w:rsid w:val="00EB0501"/>
    <w:rsid w:val="00EB152C"/>
    <w:rsid w:val="00EB1C73"/>
    <w:rsid w:val="00EC7097"/>
    <w:rsid w:val="00F00D74"/>
    <w:rsid w:val="00F03331"/>
    <w:rsid w:val="00F070B4"/>
    <w:rsid w:val="00F21BD6"/>
    <w:rsid w:val="00F24620"/>
    <w:rsid w:val="00F30932"/>
    <w:rsid w:val="00F3188C"/>
    <w:rsid w:val="00F40535"/>
    <w:rsid w:val="00F42956"/>
    <w:rsid w:val="00F44308"/>
    <w:rsid w:val="00F55B4B"/>
    <w:rsid w:val="00F80C3A"/>
    <w:rsid w:val="00FA4566"/>
    <w:rsid w:val="00FC1575"/>
    <w:rsid w:val="00FD1220"/>
    <w:rsid w:val="00FD29FB"/>
    <w:rsid w:val="00FE1348"/>
    <w:rsid w:val="00FE4215"/>
    <w:rsid w:val="00FF0B9E"/>
    <w:rsid w:val="0A4E16F7"/>
    <w:rsid w:val="0B325A2B"/>
    <w:rsid w:val="21F82500"/>
    <w:rsid w:val="2D9E2400"/>
    <w:rsid w:val="3CFA632C"/>
    <w:rsid w:val="5DED0109"/>
    <w:rsid w:val="66105365"/>
    <w:rsid w:val="6C270FFC"/>
    <w:rsid w:val="7A791DE1"/>
    <w:rsid w:val="7DE13478"/>
    <w:rsid w:val="7E4B4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ody Text"/>
    <w:basedOn w:val="1"/>
    <w:qFormat/>
    <w:uiPriority w:val="0"/>
    <w:rPr>
      <w:sz w:val="24"/>
    </w:rPr>
  </w:style>
  <w:style w:type="paragraph" w:styleId="4">
    <w:name w:val="Body Text Indent"/>
    <w:basedOn w:val="1"/>
    <w:qFormat/>
    <w:uiPriority w:val="0"/>
    <w:pPr>
      <w:ind w:firstLine="480" w:firstLineChars="200"/>
    </w:pPr>
    <w:rPr>
      <w:sz w:val="24"/>
    </w:rPr>
  </w:style>
  <w:style w:type="paragraph" w:styleId="5">
    <w:name w:val="Body Text Indent 2"/>
    <w:basedOn w:val="1"/>
    <w:link w:val="24"/>
    <w:semiHidden/>
    <w:unhideWhenUsed/>
    <w:qFormat/>
    <w:uiPriority w:val="0"/>
    <w:pPr>
      <w:spacing w:after="120" w:line="480" w:lineRule="auto"/>
      <w:ind w:left="420" w:leftChars="2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lang w:val="zh-CN"/>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23"/>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3">
    <w:name w:val="Table Elegant"/>
    <w:basedOn w:val="1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table" w:styleId="14">
    <w:name w:val="Table Web 3"/>
    <w:basedOn w:val="11"/>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character" w:styleId="16">
    <w:name w:val="Strong"/>
    <w:qFormat/>
    <w:uiPriority w:val="22"/>
    <w:rPr>
      <w:b/>
      <w:bCs/>
    </w:rPr>
  </w:style>
  <w:style w:type="character" w:styleId="17">
    <w:name w:val="page number"/>
    <w:basedOn w:val="15"/>
    <w:qFormat/>
    <w:uiPriority w:val="0"/>
  </w:style>
  <w:style w:type="character" w:styleId="18">
    <w:name w:val="annotation reference"/>
    <w:qFormat/>
    <w:uiPriority w:val="0"/>
    <w:rPr>
      <w:sz w:val="21"/>
      <w:szCs w:val="21"/>
    </w:rPr>
  </w:style>
  <w:style w:type="character" w:customStyle="1" w:styleId="19">
    <w:name w:val="f14b1"/>
    <w:qFormat/>
    <w:uiPriority w:val="0"/>
    <w:rPr>
      <w:b/>
      <w:bCs/>
      <w:sz w:val="21"/>
      <w:szCs w:val="21"/>
    </w:rPr>
  </w:style>
  <w:style w:type="character" w:customStyle="1" w:styleId="20">
    <w:name w:val="页眉 Char"/>
    <w:link w:val="8"/>
    <w:qFormat/>
    <w:uiPriority w:val="0"/>
    <w:rPr>
      <w:kern w:val="2"/>
      <w:sz w:val="18"/>
      <w:szCs w:val="18"/>
    </w:rPr>
  </w:style>
  <w:style w:type="character" w:customStyle="1" w:styleId="21">
    <w:name w:val="批注框文本 Char"/>
    <w:link w:val="6"/>
    <w:qFormat/>
    <w:uiPriority w:val="0"/>
    <w:rPr>
      <w:kern w:val="2"/>
      <w:sz w:val="18"/>
      <w:szCs w:val="18"/>
    </w:rPr>
  </w:style>
  <w:style w:type="character" w:customStyle="1" w:styleId="22">
    <w:name w:val="批注文字 Char"/>
    <w:link w:val="2"/>
    <w:qFormat/>
    <w:uiPriority w:val="0"/>
    <w:rPr>
      <w:kern w:val="2"/>
      <w:sz w:val="21"/>
      <w:szCs w:val="24"/>
    </w:rPr>
  </w:style>
  <w:style w:type="character" w:customStyle="1" w:styleId="23">
    <w:name w:val="批注主题 Char"/>
    <w:link w:val="10"/>
    <w:qFormat/>
    <w:uiPriority w:val="0"/>
    <w:rPr>
      <w:b/>
      <w:bCs/>
      <w:kern w:val="2"/>
      <w:sz w:val="21"/>
      <w:szCs w:val="24"/>
    </w:rPr>
  </w:style>
  <w:style w:type="character" w:customStyle="1" w:styleId="24">
    <w:name w:val="正文文本缩进 2 Char"/>
    <w:basedOn w:val="15"/>
    <w:link w:val="5"/>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742</Words>
  <Characters>4233</Characters>
  <Lines>35</Lines>
  <Paragraphs>9</Paragraphs>
  <TotalTime>9</TotalTime>
  <ScaleCrop>false</ScaleCrop>
  <LinksUpToDate>false</LinksUpToDate>
  <CharactersWithSpaces>4966</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2019-05-22T10:11:00Z</dcterms:created>
  <dc:creator>start</dc:creator>
  <cp:lastModifiedBy>小雨伞1384067336</cp:lastModifiedBy>
  <cp:lastPrinted>2014-04-22T03:16:00Z</cp:lastPrinted>
  <dcterms:modified xsi:type="dcterms:W3CDTF">2019-08-08T08:54:38Z</dcterms:modified>
  <dc:title>资 产 评 估 委 托 书</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